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D7A68A" w14:textId="77777777" w:rsidR="001E7650" w:rsidRPr="00AB1B03" w:rsidRDefault="00377ACF" w:rsidP="00377ACF">
      <w:pPr>
        <w:pStyle w:val="Titre1"/>
        <w:tabs>
          <w:tab w:val="left" w:pos="-2410"/>
          <w:tab w:val="left" w:pos="1276"/>
          <w:tab w:val="center" w:pos="4818"/>
        </w:tabs>
        <w:ind w:left="-426"/>
        <w:rPr>
          <w:sz w:val="28"/>
          <w:szCs w:val="28"/>
        </w:rPr>
      </w:pPr>
      <w:bookmarkStart w:id="0" w:name="_GoBack"/>
      <w:bookmarkEnd w:id="0"/>
      <w:r>
        <w:tab/>
      </w:r>
      <w:r w:rsidR="001E7650" w:rsidRPr="00AB1B03">
        <w:rPr>
          <w:sz w:val="28"/>
          <w:szCs w:val="28"/>
        </w:rPr>
        <w:t>PROPOSITION SUJETS DE THESES</w:t>
      </w:r>
    </w:p>
    <w:p w14:paraId="2E1CCB55" w14:textId="5909E722" w:rsidR="001E7650" w:rsidRPr="00AB1B03" w:rsidRDefault="00377ACF" w:rsidP="00377ACF">
      <w:pPr>
        <w:pStyle w:val="Titre1"/>
        <w:ind w:firstLine="708"/>
        <w:rPr>
          <w:sz w:val="28"/>
          <w:szCs w:val="28"/>
        </w:rPr>
      </w:pPr>
      <w:r w:rsidRPr="00AB1B03">
        <w:rPr>
          <w:sz w:val="28"/>
          <w:szCs w:val="28"/>
        </w:rPr>
        <w:t xml:space="preserve">     </w:t>
      </w:r>
      <w:r w:rsidRPr="00AB1B03">
        <w:rPr>
          <w:sz w:val="28"/>
          <w:szCs w:val="28"/>
        </w:rPr>
        <w:tab/>
      </w:r>
      <w:r w:rsidR="001E7650" w:rsidRPr="00AB1B03">
        <w:rPr>
          <w:sz w:val="28"/>
          <w:szCs w:val="28"/>
        </w:rPr>
        <w:t>CONTRATS DOCTORAUX</w:t>
      </w:r>
      <w:r w:rsidRPr="00AB1B03">
        <w:rPr>
          <w:sz w:val="28"/>
          <w:szCs w:val="28"/>
        </w:rPr>
        <w:t xml:space="preserve"> 202</w:t>
      </w:r>
      <w:r w:rsidR="004328F7">
        <w:rPr>
          <w:sz w:val="28"/>
          <w:szCs w:val="28"/>
        </w:rPr>
        <w:t>1</w:t>
      </w:r>
      <w:r w:rsidRPr="00AB1B03">
        <w:rPr>
          <w:sz w:val="28"/>
          <w:szCs w:val="28"/>
        </w:rPr>
        <w:t>-</w:t>
      </w:r>
      <w:r w:rsidR="004328F7" w:rsidRPr="00AB1B03">
        <w:rPr>
          <w:sz w:val="28"/>
          <w:szCs w:val="28"/>
        </w:rPr>
        <w:t>202</w:t>
      </w:r>
      <w:r w:rsidR="004328F7">
        <w:rPr>
          <w:sz w:val="28"/>
          <w:szCs w:val="28"/>
        </w:rPr>
        <w:t>4</w:t>
      </w:r>
    </w:p>
    <w:p w14:paraId="21B1557F" w14:textId="77777777" w:rsidR="001E7650" w:rsidRDefault="001E7650"/>
    <w:p w14:paraId="2B29A5E8" w14:textId="77777777" w:rsidR="001E7650" w:rsidRDefault="001E7650">
      <w:pPr>
        <w:ind w:left="1560"/>
        <w:rPr>
          <w:b/>
        </w:rPr>
      </w:pPr>
      <w:r>
        <w:rPr>
          <w:b/>
          <w:u w:val="single"/>
        </w:rPr>
        <w:t>Appel ciblé </w:t>
      </w:r>
      <w:r>
        <w:rPr>
          <w:u w:val="single"/>
        </w:rPr>
        <w:t>(merci de cocher la case correspondante)</w:t>
      </w:r>
      <w:r w:rsidR="00667662">
        <w:rPr>
          <w:u w:val="single"/>
        </w:rPr>
        <w:t xml:space="preserve"> </w:t>
      </w:r>
      <w:r>
        <w:rPr>
          <w:u w:val="single"/>
        </w:rPr>
        <w:t>:</w:t>
      </w:r>
      <w:r>
        <w:rPr>
          <w:b/>
          <w:u w:val="single"/>
        </w:rPr>
        <w:t xml:space="preserve"> </w:t>
      </w:r>
    </w:p>
    <w:p w14:paraId="77CE74AB" w14:textId="77777777" w:rsidR="001E7650" w:rsidRDefault="001E7650">
      <w:pPr>
        <w:ind w:left="1560"/>
        <w:rPr>
          <w:b/>
        </w:rPr>
      </w:pPr>
      <w:r>
        <w:rPr>
          <w:b/>
        </w:rPr>
        <w:t xml:space="preserve"> □ Contrat doctoral ministériel ED  536</w:t>
      </w:r>
    </w:p>
    <w:p w14:paraId="465EB796" w14:textId="77777777" w:rsidR="001E7650" w:rsidRDefault="003A14F1">
      <w:pPr>
        <w:ind w:left="1560"/>
        <w:rPr>
          <w:b/>
        </w:rPr>
      </w:pPr>
      <w:r>
        <w:rPr>
          <w:b/>
        </w:rPr>
        <w:t>□</w:t>
      </w:r>
      <w:r w:rsidR="001E7650">
        <w:rPr>
          <w:b/>
        </w:rPr>
        <w:t xml:space="preserve"> Contrat doctoral ministériel ED 537</w:t>
      </w:r>
    </w:p>
    <w:p w14:paraId="3AB5CBE3" w14:textId="77777777" w:rsidR="00704E93" w:rsidRDefault="00AB2ED6" w:rsidP="00704E93">
      <w:pPr>
        <w:ind w:left="1560"/>
        <w:rPr>
          <w:b/>
        </w:rPr>
      </w:pPr>
      <w:r>
        <w:rPr>
          <w:b/>
        </w:rPr>
        <w:t>X</w:t>
      </w:r>
      <w:r w:rsidR="00704E93">
        <w:rPr>
          <w:b/>
        </w:rPr>
        <w:t xml:space="preserve"> Contrat doctoral EUR </w:t>
      </w:r>
      <w:proofErr w:type="spellStart"/>
      <w:r w:rsidR="00704E93">
        <w:rPr>
          <w:b/>
        </w:rPr>
        <w:t>Implanteus</w:t>
      </w:r>
      <w:proofErr w:type="spellEnd"/>
    </w:p>
    <w:p w14:paraId="6B5B877F" w14:textId="77777777" w:rsidR="001E7650" w:rsidRDefault="001E7650">
      <w:pPr>
        <w:ind w:left="1560"/>
        <w:rPr>
          <w:b/>
        </w:rPr>
      </w:pPr>
      <w:r>
        <w:rPr>
          <w:i/>
        </w:rPr>
        <w:t>------------------------------------------------------------------------------------------------------------------------</w:t>
      </w:r>
    </w:p>
    <w:p w14:paraId="316A10A5" w14:textId="58CC3730" w:rsidR="001E7650" w:rsidRDefault="001E7650">
      <w:pPr>
        <w:ind w:left="1560"/>
        <w:rPr>
          <w:b/>
        </w:rPr>
      </w:pPr>
      <w:r>
        <w:rPr>
          <w:b/>
        </w:rPr>
        <w:t>Directeur de thèse</w:t>
      </w:r>
      <w:r>
        <w:t xml:space="preserve"> : </w:t>
      </w:r>
      <w:r w:rsidR="00AB2ED6">
        <w:t>Christine CONTINO-PEPIN</w:t>
      </w:r>
      <w:r w:rsidR="004225DF">
        <w:t xml:space="preserve"> </w:t>
      </w:r>
      <w:r w:rsidR="004225DF" w:rsidRPr="00AE4297">
        <w:rPr>
          <w:highlight w:val="yellow"/>
        </w:rPr>
        <w:t xml:space="preserve">(CBSA team, Avignon </w:t>
      </w:r>
      <w:proofErr w:type="spellStart"/>
      <w:r w:rsidR="004225DF" w:rsidRPr="00AE4297">
        <w:rPr>
          <w:highlight w:val="yellow"/>
        </w:rPr>
        <w:t>University</w:t>
      </w:r>
      <w:proofErr w:type="spellEnd"/>
      <w:r w:rsidR="004225DF" w:rsidRPr="00AE4297">
        <w:rPr>
          <w:highlight w:val="yellow"/>
        </w:rPr>
        <w:t>)</w:t>
      </w:r>
    </w:p>
    <w:p w14:paraId="4D0D4702" w14:textId="1BFCF26D" w:rsidR="001E7650" w:rsidRPr="005C7B45" w:rsidRDefault="003F3A9A">
      <w:pPr>
        <w:ind w:left="1560"/>
        <w:rPr>
          <w:bCs/>
        </w:rPr>
      </w:pPr>
      <w:r w:rsidRPr="005C7B45">
        <w:rPr>
          <w:b/>
        </w:rPr>
        <w:t>Co-directeur éventuel :</w:t>
      </w:r>
      <w:r w:rsidR="00AB2ED6" w:rsidRPr="005C7B45">
        <w:rPr>
          <w:b/>
        </w:rPr>
        <w:t xml:space="preserve"> </w:t>
      </w:r>
      <w:r w:rsidR="00AB2ED6" w:rsidRPr="005C7B45">
        <w:rPr>
          <w:bCs/>
        </w:rPr>
        <w:t>Patrick BOREL</w:t>
      </w:r>
      <w:r w:rsidR="004225DF" w:rsidRPr="005C7B45">
        <w:rPr>
          <w:bCs/>
        </w:rPr>
        <w:t xml:space="preserve"> </w:t>
      </w:r>
      <w:r w:rsidR="004225DF" w:rsidRPr="005C7B45">
        <w:rPr>
          <w:bCs/>
          <w:highlight w:val="yellow"/>
        </w:rPr>
        <w:t>(C2VN team, AMU)</w:t>
      </w:r>
    </w:p>
    <w:p w14:paraId="1169F2FE" w14:textId="76EA88CD" w:rsidR="001E7650" w:rsidRPr="00AB2ED6" w:rsidRDefault="001E7650">
      <w:pPr>
        <w:ind w:left="1560"/>
        <w:rPr>
          <w:bCs/>
        </w:rPr>
      </w:pPr>
      <w:r>
        <w:rPr>
          <w:b/>
        </w:rPr>
        <w:t>Co-encadrant </w:t>
      </w:r>
      <w:r w:rsidR="003F3A9A">
        <w:rPr>
          <w:b/>
        </w:rPr>
        <w:t xml:space="preserve">éventuel </w:t>
      </w:r>
      <w:r>
        <w:rPr>
          <w:b/>
        </w:rPr>
        <w:t xml:space="preserve">: </w:t>
      </w:r>
      <w:r w:rsidR="00AB2ED6" w:rsidRPr="0010692B">
        <w:rPr>
          <w:rFonts w:cs="Arial"/>
          <w:bCs/>
        </w:rPr>
        <w:t>Charles DESMARCHELIER</w:t>
      </w:r>
      <w:r w:rsidR="004225DF">
        <w:rPr>
          <w:rFonts w:cs="Arial"/>
          <w:bCs/>
        </w:rPr>
        <w:t xml:space="preserve"> </w:t>
      </w:r>
      <w:r w:rsidR="004225DF" w:rsidRPr="005C7B45">
        <w:rPr>
          <w:bCs/>
          <w:highlight w:val="yellow"/>
        </w:rPr>
        <w:t>(C2VN team, AMU)</w:t>
      </w:r>
    </w:p>
    <w:p w14:paraId="289BB6E4" w14:textId="77777777" w:rsidR="001E7650" w:rsidRPr="00AB2ED6" w:rsidRDefault="001E7650" w:rsidP="00522F99">
      <w:pPr>
        <w:ind w:left="1560"/>
        <w:jc w:val="both"/>
        <w:rPr>
          <w:b/>
        </w:rPr>
      </w:pPr>
      <w:r w:rsidRPr="00AB2ED6">
        <w:rPr>
          <w:b/>
        </w:rPr>
        <w:t>Titre en français</w:t>
      </w:r>
      <w:r w:rsidRPr="00AB2ED6">
        <w:t xml:space="preserve"> : </w:t>
      </w:r>
      <w:r w:rsidR="00AB2ED6" w:rsidRPr="00522F99">
        <w:rPr>
          <w:rFonts w:ascii="Arial" w:hAnsi="Arial" w:cs="Arial"/>
          <w:bCs/>
          <w:sz w:val="20"/>
          <w:szCs w:val="20"/>
        </w:rPr>
        <w:t>Eco-extraction et encapsulation de xanthophylles issus de matrices végétales dans des extraits-émulsions permettant d’accroitre leur stabilité et leur biodisponibilité.</w:t>
      </w:r>
    </w:p>
    <w:p w14:paraId="78C420A4" w14:textId="77777777" w:rsidR="001E7650" w:rsidRPr="00AB2ED6" w:rsidRDefault="001E7650" w:rsidP="00522F99">
      <w:pPr>
        <w:ind w:left="1560"/>
        <w:jc w:val="both"/>
        <w:rPr>
          <w:lang w:val="en-US"/>
        </w:rPr>
      </w:pPr>
      <w:proofErr w:type="spellStart"/>
      <w:r w:rsidRPr="004225DF">
        <w:rPr>
          <w:b/>
          <w:highlight w:val="yellow"/>
          <w:lang w:val="en-US"/>
        </w:rPr>
        <w:t>Titre</w:t>
      </w:r>
      <w:proofErr w:type="spellEnd"/>
      <w:r w:rsidRPr="004225DF">
        <w:rPr>
          <w:b/>
          <w:highlight w:val="yellow"/>
          <w:lang w:val="en-US"/>
        </w:rPr>
        <w:t xml:space="preserve"> </w:t>
      </w:r>
      <w:proofErr w:type="spellStart"/>
      <w:r w:rsidRPr="004225DF">
        <w:rPr>
          <w:b/>
          <w:highlight w:val="yellow"/>
          <w:lang w:val="en-US"/>
        </w:rPr>
        <w:t>en</w:t>
      </w:r>
      <w:proofErr w:type="spellEnd"/>
      <w:r w:rsidRPr="004225DF">
        <w:rPr>
          <w:b/>
          <w:highlight w:val="yellow"/>
          <w:lang w:val="en-US"/>
        </w:rPr>
        <w:t xml:space="preserve"> </w:t>
      </w:r>
      <w:proofErr w:type="spellStart"/>
      <w:proofErr w:type="gramStart"/>
      <w:r w:rsidRPr="004225DF">
        <w:rPr>
          <w:b/>
          <w:highlight w:val="yellow"/>
          <w:lang w:val="en-US"/>
        </w:rPr>
        <w:t>anglais</w:t>
      </w:r>
      <w:proofErr w:type="spellEnd"/>
      <w:r w:rsidRPr="004225DF">
        <w:rPr>
          <w:highlight w:val="yellow"/>
          <w:lang w:val="en-US"/>
        </w:rPr>
        <w:t> :</w:t>
      </w:r>
      <w:proofErr w:type="gramEnd"/>
      <w:r w:rsidRPr="004225DF">
        <w:rPr>
          <w:highlight w:val="yellow"/>
          <w:lang w:val="en-US"/>
        </w:rPr>
        <w:t xml:space="preserve"> </w:t>
      </w:r>
      <w:r w:rsidR="00AB2ED6" w:rsidRPr="004225DF">
        <w:rPr>
          <w:rFonts w:ascii="Arial" w:hAnsi="Arial" w:cs="Arial"/>
          <w:bCs/>
          <w:sz w:val="20"/>
          <w:szCs w:val="20"/>
          <w:highlight w:val="yellow"/>
          <w:lang w:val="en-US"/>
        </w:rPr>
        <w:t>One-pot solvent-free extraction and encapsulation of xanthophylls from plant matrices to improve their stability and bioavailability.</w:t>
      </w:r>
    </w:p>
    <w:p w14:paraId="17252F4A" w14:textId="49C82CB9" w:rsidR="001E7650" w:rsidRDefault="001E7650" w:rsidP="00522F99">
      <w:pPr>
        <w:ind w:left="1560"/>
        <w:jc w:val="both"/>
        <w:rPr>
          <w:rFonts w:ascii="Arial" w:hAnsi="Arial" w:cs="Arial"/>
          <w:bCs/>
          <w:sz w:val="20"/>
          <w:szCs w:val="20"/>
        </w:rPr>
      </w:pPr>
      <w:r w:rsidRPr="002930D6">
        <w:rPr>
          <w:b/>
        </w:rPr>
        <w:t>Mots-clés</w:t>
      </w:r>
      <w:r w:rsidRPr="002930D6">
        <w:t> :</w:t>
      </w:r>
      <w:r w:rsidR="007F14E0">
        <w:t xml:space="preserve"> </w:t>
      </w:r>
      <w:r w:rsidR="002930D6" w:rsidRPr="00522F99">
        <w:rPr>
          <w:rFonts w:ascii="Arial" w:hAnsi="Arial" w:cs="Arial"/>
          <w:bCs/>
          <w:sz w:val="20"/>
          <w:szCs w:val="20"/>
        </w:rPr>
        <w:t>Nano/</w:t>
      </w:r>
      <w:proofErr w:type="spellStart"/>
      <w:r w:rsidR="002930D6" w:rsidRPr="00522F99">
        <w:rPr>
          <w:rFonts w:ascii="Arial" w:hAnsi="Arial" w:cs="Arial"/>
          <w:bCs/>
          <w:sz w:val="20"/>
          <w:szCs w:val="20"/>
        </w:rPr>
        <w:t>micro-émulsions</w:t>
      </w:r>
      <w:proofErr w:type="spellEnd"/>
      <w:r w:rsidR="002930D6" w:rsidRPr="00522F99">
        <w:rPr>
          <w:rFonts w:ascii="Arial" w:hAnsi="Arial" w:cs="Arial"/>
          <w:bCs/>
          <w:sz w:val="20"/>
          <w:szCs w:val="20"/>
        </w:rPr>
        <w:t xml:space="preserve">, </w:t>
      </w:r>
      <w:proofErr w:type="spellStart"/>
      <w:r w:rsidR="002930D6" w:rsidRPr="00522F99">
        <w:rPr>
          <w:rFonts w:ascii="Arial" w:hAnsi="Arial" w:cs="Arial"/>
          <w:bCs/>
          <w:sz w:val="20"/>
          <w:szCs w:val="20"/>
        </w:rPr>
        <w:t>eco</w:t>
      </w:r>
      <w:proofErr w:type="spellEnd"/>
      <w:r w:rsidR="002930D6" w:rsidRPr="00522F99">
        <w:rPr>
          <w:rFonts w:ascii="Arial" w:hAnsi="Arial" w:cs="Arial"/>
          <w:bCs/>
          <w:sz w:val="20"/>
          <w:szCs w:val="20"/>
        </w:rPr>
        <w:t xml:space="preserve">-extraction, formulation, amphiphiles, </w:t>
      </w:r>
      <w:proofErr w:type="spellStart"/>
      <w:r w:rsidR="002930D6" w:rsidRPr="00F42D82">
        <w:rPr>
          <w:rFonts w:ascii="Arial" w:hAnsi="Arial" w:cs="Arial"/>
          <w:bCs/>
          <w:sz w:val="20"/>
          <w:szCs w:val="20"/>
        </w:rPr>
        <w:t>phytomicronutriments</w:t>
      </w:r>
      <w:proofErr w:type="spellEnd"/>
      <w:r w:rsidR="002930D6" w:rsidRPr="00F42D82">
        <w:rPr>
          <w:rFonts w:ascii="Arial" w:hAnsi="Arial" w:cs="Arial"/>
          <w:bCs/>
          <w:sz w:val="20"/>
          <w:szCs w:val="20"/>
        </w:rPr>
        <w:t xml:space="preserve">, </w:t>
      </w:r>
      <w:r w:rsidR="007F14E0" w:rsidRPr="00F42D82">
        <w:rPr>
          <w:rFonts w:ascii="Arial" w:hAnsi="Arial" w:cs="Arial"/>
          <w:bCs/>
          <w:sz w:val="20"/>
          <w:szCs w:val="20"/>
        </w:rPr>
        <w:t>caroténoïdes</w:t>
      </w:r>
      <w:r w:rsidR="002930D6" w:rsidRPr="00F42D82">
        <w:rPr>
          <w:rFonts w:ascii="Arial" w:hAnsi="Arial" w:cs="Arial"/>
          <w:bCs/>
          <w:sz w:val="20"/>
          <w:szCs w:val="20"/>
        </w:rPr>
        <w:t xml:space="preserve">, biodisponibilité, </w:t>
      </w:r>
      <w:r w:rsidR="007F14E0" w:rsidRPr="00F42D82">
        <w:rPr>
          <w:rFonts w:ascii="Arial" w:hAnsi="Arial" w:cs="Arial"/>
          <w:bCs/>
          <w:sz w:val="20"/>
          <w:szCs w:val="20"/>
        </w:rPr>
        <w:t>digestion</w:t>
      </w:r>
      <w:r w:rsidR="004328F7" w:rsidRPr="00F42D82">
        <w:rPr>
          <w:rFonts w:ascii="Arial" w:hAnsi="Arial" w:cs="Arial"/>
          <w:bCs/>
          <w:sz w:val="20"/>
          <w:szCs w:val="20"/>
        </w:rPr>
        <w:t>.</w:t>
      </w:r>
    </w:p>
    <w:p w14:paraId="1F688382" w14:textId="566019F9" w:rsidR="0026170C" w:rsidRPr="0026170C" w:rsidRDefault="0026170C" w:rsidP="00522F99">
      <w:pPr>
        <w:ind w:left="1560"/>
        <w:jc w:val="both"/>
      </w:pPr>
      <w:proofErr w:type="spellStart"/>
      <w:r w:rsidRPr="004225DF">
        <w:rPr>
          <w:highlight w:val="yellow"/>
        </w:rPr>
        <w:t>Key-Words</w:t>
      </w:r>
      <w:proofErr w:type="spellEnd"/>
      <w:r w:rsidRPr="004225DF">
        <w:rPr>
          <w:highlight w:val="yellow"/>
        </w:rPr>
        <w:t> : Nano/</w:t>
      </w:r>
      <w:proofErr w:type="spellStart"/>
      <w:r w:rsidRPr="004225DF">
        <w:rPr>
          <w:highlight w:val="yellow"/>
        </w:rPr>
        <w:t>microemulsions</w:t>
      </w:r>
      <w:proofErr w:type="spellEnd"/>
      <w:r w:rsidRPr="004225DF">
        <w:rPr>
          <w:highlight w:val="yellow"/>
        </w:rPr>
        <w:t xml:space="preserve">, </w:t>
      </w:r>
      <w:proofErr w:type="spellStart"/>
      <w:r w:rsidRPr="004225DF">
        <w:rPr>
          <w:highlight w:val="yellow"/>
        </w:rPr>
        <w:t>eco</w:t>
      </w:r>
      <w:proofErr w:type="spellEnd"/>
      <w:r w:rsidRPr="004225DF">
        <w:rPr>
          <w:highlight w:val="yellow"/>
        </w:rPr>
        <w:t xml:space="preserve">-extraction, formulation, amphiphiles, </w:t>
      </w:r>
      <w:proofErr w:type="spellStart"/>
      <w:r w:rsidRPr="004225DF">
        <w:rPr>
          <w:highlight w:val="yellow"/>
        </w:rPr>
        <w:t>phyt</w:t>
      </w:r>
      <w:r w:rsidR="00A56638">
        <w:rPr>
          <w:highlight w:val="yellow"/>
        </w:rPr>
        <w:t>o</w:t>
      </w:r>
      <w:r w:rsidRPr="004225DF">
        <w:rPr>
          <w:highlight w:val="yellow"/>
        </w:rPr>
        <w:t>micronutrients</w:t>
      </w:r>
      <w:proofErr w:type="spellEnd"/>
      <w:r w:rsidRPr="004225DF">
        <w:rPr>
          <w:highlight w:val="yellow"/>
        </w:rPr>
        <w:t xml:space="preserve">, </w:t>
      </w:r>
      <w:proofErr w:type="spellStart"/>
      <w:r w:rsidRPr="004225DF">
        <w:rPr>
          <w:highlight w:val="yellow"/>
        </w:rPr>
        <w:t>carotenoids</w:t>
      </w:r>
      <w:proofErr w:type="spellEnd"/>
      <w:r w:rsidRPr="004225DF">
        <w:rPr>
          <w:highlight w:val="yellow"/>
        </w:rPr>
        <w:t xml:space="preserve">, </w:t>
      </w:r>
      <w:proofErr w:type="spellStart"/>
      <w:r w:rsidRPr="004225DF">
        <w:rPr>
          <w:rFonts w:cs="Arial"/>
          <w:bCs/>
          <w:highlight w:val="yellow"/>
        </w:rPr>
        <w:t>bioavailability</w:t>
      </w:r>
      <w:proofErr w:type="spellEnd"/>
      <w:r w:rsidRPr="004225DF">
        <w:rPr>
          <w:rFonts w:cs="Arial"/>
          <w:bCs/>
          <w:highlight w:val="yellow"/>
        </w:rPr>
        <w:t>, gastro-intestinal digestion.</w:t>
      </w:r>
    </w:p>
    <w:p w14:paraId="0893D92B" w14:textId="77777777" w:rsidR="003F3A9A" w:rsidRDefault="001E7650" w:rsidP="003F3A9A">
      <w:pPr>
        <w:ind w:left="1560"/>
        <w:rPr>
          <w:b/>
        </w:rPr>
      </w:pPr>
      <w:r>
        <w:rPr>
          <w:b/>
        </w:rPr>
        <w:t>Co tutelle</w:t>
      </w:r>
      <w:r>
        <w:t xml:space="preserve"> :   </w:t>
      </w:r>
      <w:proofErr w:type="gramStart"/>
      <w:r w:rsidRPr="00B44F84">
        <w:rPr>
          <w:strike/>
        </w:rPr>
        <w:t>Oui</w:t>
      </w:r>
      <w:r>
        <w:t xml:space="preserve">  </w:t>
      </w:r>
      <w:r w:rsidRPr="003F3A9A">
        <w:t>-</w:t>
      </w:r>
      <w:proofErr w:type="gramEnd"/>
      <w:r w:rsidRPr="003F3A9A">
        <w:t xml:space="preserve"> Non</w:t>
      </w:r>
      <w:r w:rsidR="003F3A9A" w:rsidRPr="003F3A9A">
        <w:rPr>
          <w:b/>
        </w:rPr>
        <w:t xml:space="preserve">   </w:t>
      </w:r>
      <w:r w:rsidR="003F3A9A">
        <w:rPr>
          <w:b/>
        </w:rPr>
        <w:t xml:space="preserve">       </w:t>
      </w:r>
      <w:r w:rsidR="003F3A9A" w:rsidRPr="003F3A9A">
        <w:rPr>
          <w:b/>
        </w:rPr>
        <w:t xml:space="preserve">   Pays :</w:t>
      </w:r>
    </w:p>
    <w:p w14:paraId="2AFEEB56" w14:textId="77777777" w:rsidR="001E7650" w:rsidRDefault="00377ACF">
      <w:pPr>
        <w:ind w:left="1560"/>
      </w:pPr>
      <w:r w:rsidRPr="00377ACF">
        <w:rPr>
          <w:b/>
        </w:rPr>
        <w:t>Opportunités de mobilité à l’international du doctorant dans le cadre de sa thèse :</w:t>
      </w:r>
      <w:r>
        <w:t xml:space="preserve">  </w:t>
      </w:r>
      <w:r w:rsidRPr="00B44F84">
        <w:rPr>
          <w:strike/>
        </w:rPr>
        <w:t>oui</w:t>
      </w:r>
      <w:r>
        <w:t xml:space="preserve"> - non</w:t>
      </w:r>
    </w:p>
    <w:p w14:paraId="10971C3C" w14:textId="77777777" w:rsidR="001E7650" w:rsidRDefault="001E7650">
      <w:pPr>
        <w:ind w:left="1560"/>
        <w:rPr>
          <w:b/>
        </w:rPr>
      </w:pPr>
      <w:r>
        <w:rPr>
          <w:b/>
        </w:rPr>
        <w:t>Profil du candidat :</w:t>
      </w:r>
      <w:r w:rsidR="00B44F84">
        <w:rPr>
          <w:b/>
        </w:rPr>
        <w:t xml:space="preserve"> </w:t>
      </w:r>
    </w:p>
    <w:p w14:paraId="1022E30C" w14:textId="15B4E666" w:rsidR="000D5601" w:rsidRPr="004225DF" w:rsidRDefault="00A96DBD" w:rsidP="004225DF">
      <w:pPr>
        <w:numPr>
          <w:ilvl w:val="0"/>
          <w:numId w:val="1"/>
        </w:numPr>
        <w:spacing w:after="120"/>
        <w:jc w:val="both"/>
        <w:rPr>
          <w:rFonts w:ascii="Arial" w:hAnsi="Arial" w:cs="Arial"/>
          <w:bCs/>
          <w:sz w:val="20"/>
          <w:szCs w:val="20"/>
          <w:highlight w:val="yellow"/>
          <w:lang w:val="en-US"/>
        </w:rPr>
      </w:pPr>
      <w:r w:rsidRPr="004225DF">
        <w:rPr>
          <w:rFonts w:ascii="Arial" w:hAnsi="Arial" w:cs="Arial"/>
          <w:bCs/>
          <w:sz w:val="20"/>
          <w:szCs w:val="20"/>
          <w:highlight w:val="yellow"/>
          <w:lang w:val="en-US"/>
        </w:rPr>
        <w:t>The candidate should have a master degree (or equivalent) in</w:t>
      </w:r>
      <w:r w:rsidR="00DD3C84" w:rsidRPr="004225DF">
        <w:rPr>
          <w:rFonts w:ascii="Arial" w:hAnsi="Arial" w:cs="Arial"/>
          <w:bCs/>
          <w:sz w:val="20"/>
          <w:szCs w:val="20"/>
          <w:highlight w:val="yellow"/>
          <w:lang w:val="en-US"/>
        </w:rPr>
        <w:t xml:space="preserve"> </w:t>
      </w:r>
      <w:r w:rsidRPr="004225DF">
        <w:rPr>
          <w:rFonts w:ascii="Arial" w:hAnsi="Arial" w:cs="Arial"/>
          <w:bCs/>
          <w:sz w:val="20"/>
          <w:szCs w:val="20"/>
          <w:highlight w:val="yellow"/>
          <w:lang w:val="en-US"/>
        </w:rPr>
        <w:t>chemistry</w:t>
      </w:r>
      <w:r w:rsidR="00DD3C84" w:rsidRPr="004225DF">
        <w:rPr>
          <w:rFonts w:ascii="Arial" w:hAnsi="Arial" w:cs="Arial"/>
          <w:bCs/>
          <w:sz w:val="20"/>
          <w:szCs w:val="20"/>
          <w:highlight w:val="yellow"/>
          <w:lang w:val="en-US"/>
        </w:rPr>
        <w:t>.</w:t>
      </w:r>
    </w:p>
    <w:p w14:paraId="256CEE25" w14:textId="1D7BB77C" w:rsidR="000D5601" w:rsidRPr="004225DF" w:rsidRDefault="00DD3C84" w:rsidP="004225DF">
      <w:pPr>
        <w:numPr>
          <w:ilvl w:val="0"/>
          <w:numId w:val="1"/>
        </w:numPr>
        <w:spacing w:after="120"/>
        <w:jc w:val="both"/>
        <w:rPr>
          <w:rFonts w:ascii="Arial" w:hAnsi="Arial" w:cs="Arial"/>
          <w:bCs/>
          <w:sz w:val="20"/>
          <w:szCs w:val="20"/>
          <w:highlight w:val="yellow"/>
          <w:lang w:val="en-US"/>
        </w:rPr>
      </w:pPr>
      <w:r w:rsidRPr="004225DF">
        <w:rPr>
          <w:rFonts w:ascii="Arial" w:hAnsi="Arial" w:cs="Arial"/>
          <w:bCs/>
          <w:sz w:val="20"/>
          <w:szCs w:val="20"/>
          <w:highlight w:val="yellow"/>
          <w:lang w:val="en-US"/>
        </w:rPr>
        <w:t xml:space="preserve">The candidate wants to work in a multidisciplinary subject from extraction and formulation of natural products to the characterization of resulting colloidal solutions through a large set of analytical techniques (HPLC, </w:t>
      </w:r>
      <w:r w:rsidR="004225DF" w:rsidRPr="004225DF">
        <w:rPr>
          <w:rFonts w:ascii="Arial" w:hAnsi="Arial" w:cs="Arial"/>
          <w:bCs/>
          <w:sz w:val="20"/>
          <w:szCs w:val="20"/>
          <w:highlight w:val="yellow"/>
          <w:lang w:val="en-US"/>
        </w:rPr>
        <w:t xml:space="preserve">Dynamic </w:t>
      </w:r>
      <w:r w:rsidRPr="004225DF">
        <w:rPr>
          <w:rFonts w:ascii="Arial" w:hAnsi="Arial" w:cs="Arial"/>
          <w:bCs/>
          <w:sz w:val="20"/>
          <w:szCs w:val="20"/>
          <w:highlight w:val="yellow"/>
          <w:lang w:val="en-US"/>
        </w:rPr>
        <w:t>Light Scattering…) followed by the study of their stability</w:t>
      </w:r>
      <w:r w:rsidR="000D68AB" w:rsidRPr="004225DF">
        <w:rPr>
          <w:rFonts w:ascii="Arial" w:hAnsi="Arial" w:cs="Arial"/>
          <w:bCs/>
          <w:sz w:val="20"/>
          <w:szCs w:val="20"/>
          <w:highlight w:val="yellow"/>
          <w:lang w:val="en-US"/>
        </w:rPr>
        <w:t xml:space="preserve">, </w:t>
      </w:r>
      <w:proofErr w:type="spellStart"/>
      <w:r w:rsidR="000D68AB" w:rsidRPr="004225DF">
        <w:rPr>
          <w:rFonts w:ascii="Arial" w:hAnsi="Arial" w:cs="Arial"/>
          <w:bCs/>
          <w:sz w:val="20"/>
          <w:szCs w:val="20"/>
          <w:highlight w:val="yellow"/>
          <w:lang w:val="en-US"/>
        </w:rPr>
        <w:t>bioaccessibility</w:t>
      </w:r>
      <w:proofErr w:type="spellEnd"/>
      <w:r w:rsidR="000D68AB" w:rsidRPr="004225DF">
        <w:rPr>
          <w:rFonts w:ascii="Arial" w:hAnsi="Arial" w:cs="Arial"/>
          <w:bCs/>
          <w:sz w:val="20"/>
          <w:szCs w:val="20"/>
          <w:highlight w:val="yellow"/>
          <w:lang w:val="en-US"/>
        </w:rPr>
        <w:t xml:space="preserve"> and uptake by intestinal cells.</w:t>
      </w:r>
      <w:r w:rsidR="007F14E0" w:rsidRPr="004225DF">
        <w:rPr>
          <w:rFonts w:ascii="Arial" w:hAnsi="Arial" w:cs="Arial"/>
          <w:bCs/>
          <w:sz w:val="20"/>
          <w:szCs w:val="20"/>
          <w:highlight w:val="yellow"/>
          <w:lang w:val="en-US"/>
        </w:rPr>
        <w:t xml:space="preserve"> </w:t>
      </w:r>
    </w:p>
    <w:p w14:paraId="0A605D95" w14:textId="74D35C95" w:rsidR="000D5601" w:rsidRPr="00AB286A" w:rsidRDefault="000D68AB" w:rsidP="004225DF">
      <w:pPr>
        <w:numPr>
          <w:ilvl w:val="0"/>
          <w:numId w:val="1"/>
        </w:numPr>
        <w:spacing w:after="120"/>
        <w:jc w:val="both"/>
        <w:rPr>
          <w:rFonts w:ascii="Arial" w:hAnsi="Arial" w:cs="Arial"/>
          <w:bCs/>
          <w:sz w:val="20"/>
          <w:szCs w:val="20"/>
          <w:highlight w:val="yellow"/>
          <w:lang w:val="en-US"/>
        </w:rPr>
      </w:pPr>
      <w:r w:rsidRPr="004225DF">
        <w:rPr>
          <w:rFonts w:ascii="Arial" w:hAnsi="Arial" w:cs="Arial"/>
          <w:bCs/>
          <w:sz w:val="20"/>
          <w:szCs w:val="20"/>
          <w:highlight w:val="yellow"/>
          <w:lang w:val="en-US"/>
        </w:rPr>
        <w:t>The candidate should demonstrate a good experience in bioorganic and green</w:t>
      </w:r>
      <w:r w:rsidR="004225DF" w:rsidRPr="004225DF">
        <w:rPr>
          <w:rFonts w:ascii="Arial" w:hAnsi="Arial" w:cs="Arial"/>
          <w:bCs/>
          <w:sz w:val="20"/>
          <w:szCs w:val="20"/>
          <w:highlight w:val="yellow"/>
          <w:lang w:val="en-US"/>
        </w:rPr>
        <w:t xml:space="preserve"> </w:t>
      </w:r>
      <w:r w:rsidRPr="004225DF">
        <w:rPr>
          <w:rFonts w:ascii="Arial" w:hAnsi="Arial" w:cs="Arial"/>
          <w:bCs/>
          <w:sz w:val="20"/>
          <w:szCs w:val="20"/>
          <w:highlight w:val="yellow"/>
          <w:lang w:val="en-US"/>
        </w:rPr>
        <w:t>chemistry. Knowledge in biology/</w:t>
      </w:r>
      <w:r w:rsidR="004225DF" w:rsidRPr="004225DF">
        <w:rPr>
          <w:rFonts w:ascii="Arial" w:hAnsi="Arial" w:cs="Arial"/>
          <w:bCs/>
          <w:sz w:val="20"/>
          <w:szCs w:val="20"/>
          <w:highlight w:val="yellow"/>
          <w:lang w:val="en-US"/>
        </w:rPr>
        <w:t>physiology of digestion would be appreciated as well.</w:t>
      </w:r>
      <w:r w:rsidRPr="004225DF">
        <w:rPr>
          <w:rFonts w:ascii="Arial" w:hAnsi="Arial" w:cs="Arial"/>
          <w:bCs/>
          <w:sz w:val="20"/>
          <w:szCs w:val="20"/>
          <w:highlight w:val="yellow"/>
          <w:lang w:val="en-US"/>
        </w:rPr>
        <w:t xml:space="preserve">  </w:t>
      </w:r>
      <w:r w:rsidR="000D5601" w:rsidRPr="004225DF">
        <w:rPr>
          <w:rFonts w:ascii="Arial" w:hAnsi="Arial" w:cs="Arial"/>
          <w:bCs/>
          <w:sz w:val="20"/>
          <w:szCs w:val="20"/>
          <w:highlight w:val="yellow"/>
          <w:lang w:val="en-US"/>
        </w:rPr>
        <w:t xml:space="preserve"> </w:t>
      </w:r>
    </w:p>
    <w:p w14:paraId="2DF2E643" w14:textId="1C1A179E" w:rsidR="00452CCD" w:rsidRPr="004658B6" w:rsidRDefault="004225DF" w:rsidP="0088744E">
      <w:pPr>
        <w:numPr>
          <w:ilvl w:val="0"/>
          <w:numId w:val="1"/>
        </w:numPr>
        <w:spacing w:after="120"/>
        <w:rPr>
          <w:rFonts w:ascii="Arial" w:hAnsi="Arial" w:cs="Arial"/>
          <w:bCs/>
          <w:sz w:val="20"/>
          <w:szCs w:val="20"/>
          <w:highlight w:val="yellow"/>
          <w:lang w:val="en-US"/>
        </w:rPr>
      </w:pPr>
      <w:r w:rsidRPr="004658B6">
        <w:rPr>
          <w:rFonts w:ascii="Arial" w:hAnsi="Arial" w:cs="Arial"/>
          <w:bCs/>
          <w:sz w:val="20"/>
          <w:szCs w:val="20"/>
          <w:highlight w:val="yellow"/>
          <w:lang w:val="en-US"/>
        </w:rPr>
        <w:lastRenderedPageBreak/>
        <w:t>A good knowledge in English (spoken and written) is required.</w:t>
      </w:r>
    </w:p>
    <w:p w14:paraId="5A78569B" w14:textId="77777777" w:rsidR="001E7650" w:rsidRPr="005C7B45" w:rsidRDefault="001E7650">
      <w:pPr>
        <w:ind w:left="1560"/>
        <w:rPr>
          <w:b/>
          <w:lang w:val="en-US"/>
        </w:rPr>
      </w:pPr>
      <w:proofErr w:type="spellStart"/>
      <w:r w:rsidRPr="005C7B45">
        <w:rPr>
          <w:b/>
          <w:lang w:val="en-US"/>
        </w:rPr>
        <w:t>Présentation</w:t>
      </w:r>
      <w:proofErr w:type="spellEnd"/>
      <w:r w:rsidRPr="005C7B45">
        <w:rPr>
          <w:b/>
          <w:lang w:val="en-US"/>
        </w:rPr>
        <w:t xml:space="preserve"> </w:t>
      </w:r>
      <w:proofErr w:type="spellStart"/>
      <w:r w:rsidRPr="005C7B45">
        <w:rPr>
          <w:b/>
          <w:lang w:val="en-US"/>
        </w:rPr>
        <w:t>détaillée</w:t>
      </w:r>
      <w:proofErr w:type="spellEnd"/>
      <w:r w:rsidRPr="005C7B45">
        <w:rPr>
          <w:b/>
          <w:lang w:val="en-US"/>
        </w:rPr>
        <w:t xml:space="preserve"> du </w:t>
      </w:r>
      <w:proofErr w:type="spellStart"/>
      <w:proofErr w:type="gramStart"/>
      <w:r w:rsidRPr="005C7B45">
        <w:rPr>
          <w:b/>
          <w:lang w:val="en-US"/>
        </w:rPr>
        <w:t>sujet</w:t>
      </w:r>
      <w:proofErr w:type="spellEnd"/>
      <w:r w:rsidR="00667662" w:rsidRPr="005C7B45">
        <w:rPr>
          <w:b/>
          <w:lang w:val="en-US"/>
        </w:rPr>
        <w:t xml:space="preserve"> </w:t>
      </w:r>
      <w:r w:rsidRPr="005C7B45">
        <w:rPr>
          <w:b/>
          <w:lang w:val="en-US"/>
        </w:rPr>
        <w:t>:</w:t>
      </w:r>
      <w:proofErr w:type="gramEnd"/>
    </w:p>
    <w:p w14:paraId="2641447D" w14:textId="29F8E54F" w:rsidR="004225DF" w:rsidRPr="00AE4297" w:rsidRDefault="004225DF" w:rsidP="00965763">
      <w:pPr>
        <w:ind w:left="1560"/>
        <w:jc w:val="both"/>
        <w:rPr>
          <w:rFonts w:ascii="Arial" w:hAnsi="Arial" w:cs="Arial"/>
          <w:bCs/>
          <w:sz w:val="20"/>
          <w:szCs w:val="20"/>
          <w:lang w:val="en-US"/>
        </w:rPr>
      </w:pPr>
      <w:r w:rsidRPr="00AE4297">
        <w:rPr>
          <w:rFonts w:ascii="Arial" w:hAnsi="Arial" w:cs="Arial"/>
          <w:bCs/>
          <w:sz w:val="20"/>
          <w:szCs w:val="20"/>
          <w:lang w:val="en-US"/>
        </w:rPr>
        <w:t>The CBSA team recently developed an innovative process allowing a dual extraction and formulation of lipophilic bioactive molecules in a solvent-free middle mainly consisting of water, therefore meeting the expectations and requirements of green chemistry. The resulting extract-emulsions, so-called “</w:t>
      </w:r>
      <w:proofErr w:type="spellStart"/>
      <w:r w:rsidRPr="00AE4297">
        <w:rPr>
          <w:rFonts w:ascii="Arial" w:hAnsi="Arial" w:cs="Arial"/>
          <w:bCs/>
          <w:sz w:val="20"/>
          <w:szCs w:val="20"/>
          <w:lang w:val="en-US"/>
        </w:rPr>
        <w:t>extremulsions</w:t>
      </w:r>
      <w:proofErr w:type="spellEnd"/>
      <w:r w:rsidRPr="00AE4297">
        <w:rPr>
          <w:rFonts w:ascii="Arial" w:hAnsi="Arial" w:cs="Arial"/>
          <w:bCs/>
          <w:sz w:val="20"/>
          <w:szCs w:val="20"/>
          <w:lang w:val="en-US"/>
        </w:rPr>
        <w:t xml:space="preserve">”, are </w:t>
      </w:r>
      <w:proofErr w:type="spellStart"/>
      <w:r w:rsidRPr="00AE4297">
        <w:rPr>
          <w:rFonts w:ascii="Arial" w:hAnsi="Arial" w:cs="Arial"/>
          <w:bCs/>
          <w:sz w:val="20"/>
          <w:szCs w:val="20"/>
          <w:lang w:val="en-US"/>
        </w:rPr>
        <w:t>nano</w:t>
      </w:r>
      <w:proofErr w:type="spellEnd"/>
      <w:r w:rsidRPr="00AE4297">
        <w:rPr>
          <w:rFonts w:ascii="Arial" w:hAnsi="Arial" w:cs="Arial"/>
          <w:bCs/>
          <w:sz w:val="20"/>
          <w:szCs w:val="20"/>
          <w:lang w:val="en-US"/>
        </w:rPr>
        <w:t xml:space="preserve">- or microemulsions whose properties (droplet size, polydispersity, loading in bioactive molecule, stability) can be fine-tuned playing on several parameters including the nature and concentration of the surfactant constituting the droplet shell, the nature of dispersed phase and the level of energy delivered during the extraction process. </w:t>
      </w:r>
      <w:proofErr w:type="spellStart"/>
      <w:r w:rsidRPr="00AE4297">
        <w:rPr>
          <w:rFonts w:ascii="Arial" w:hAnsi="Arial" w:cs="Arial"/>
          <w:bCs/>
          <w:sz w:val="20"/>
          <w:szCs w:val="20"/>
          <w:lang w:val="en-US"/>
        </w:rPr>
        <w:t>Extremulsions</w:t>
      </w:r>
      <w:proofErr w:type="spellEnd"/>
      <w:r w:rsidRPr="00AE4297">
        <w:rPr>
          <w:rFonts w:ascii="Arial" w:hAnsi="Arial" w:cs="Arial"/>
          <w:bCs/>
          <w:sz w:val="20"/>
          <w:szCs w:val="20"/>
          <w:lang w:val="en-US"/>
        </w:rPr>
        <w:t xml:space="preserve"> appear to be of particular interest for applications in the field of food fortification and supplementation. Moreover, the freeze-drying of the achieved </w:t>
      </w:r>
      <w:proofErr w:type="spellStart"/>
      <w:r w:rsidRPr="00AE4297">
        <w:rPr>
          <w:rFonts w:ascii="Arial" w:hAnsi="Arial" w:cs="Arial"/>
          <w:bCs/>
          <w:sz w:val="20"/>
          <w:szCs w:val="20"/>
          <w:lang w:val="en-US"/>
        </w:rPr>
        <w:t>extremulsions</w:t>
      </w:r>
      <w:proofErr w:type="spellEnd"/>
      <w:r w:rsidRPr="00AE4297">
        <w:rPr>
          <w:rFonts w:ascii="Arial" w:hAnsi="Arial" w:cs="Arial"/>
          <w:bCs/>
          <w:sz w:val="20"/>
          <w:szCs w:val="20"/>
          <w:lang w:val="en-US"/>
        </w:rPr>
        <w:t xml:space="preserve"> provide stable dry formulations easy to store and to reconstitute identically by simple addition of water.</w:t>
      </w:r>
      <w:r w:rsidRPr="00AE4297">
        <w:rPr>
          <w:rFonts w:ascii="Arial" w:hAnsi="Arial" w:cs="Arial"/>
          <w:bCs/>
          <w:sz w:val="20"/>
          <w:szCs w:val="20"/>
          <w:vertAlign w:val="superscript"/>
          <w:lang w:val="en-US"/>
        </w:rPr>
        <w:t>1</w:t>
      </w:r>
      <w:r w:rsidRPr="00AE4297">
        <w:rPr>
          <w:rFonts w:ascii="Arial" w:hAnsi="Arial" w:cs="Arial"/>
          <w:bCs/>
          <w:sz w:val="20"/>
          <w:szCs w:val="20"/>
          <w:lang w:val="en-US"/>
        </w:rPr>
        <w:t xml:space="preserve"> A recent work carried out in collaboration with P. </w:t>
      </w:r>
      <w:proofErr w:type="spellStart"/>
      <w:r w:rsidRPr="00AE4297">
        <w:rPr>
          <w:rFonts w:ascii="Arial" w:hAnsi="Arial" w:cs="Arial"/>
          <w:bCs/>
          <w:sz w:val="20"/>
          <w:szCs w:val="20"/>
          <w:lang w:val="en-US"/>
        </w:rPr>
        <w:t>Borel's</w:t>
      </w:r>
      <w:proofErr w:type="spellEnd"/>
      <w:r w:rsidRPr="00AE4297">
        <w:rPr>
          <w:rFonts w:ascii="Arial" w:hAnsi="Arial" w:cs="Arial"/>
          <w:bCs/>
          <w:sz w:val="20"/>
          <w:szCs w:val="20"/>
          <w:lang w:val="en-US"/>
        </w:rPr>
        <w:t xml:space="preserve"> team at C2VN has demonstrated the interest of </w:t>
      </w:r>
      <w:proofErr w:type="spellStart"/>
      <w:r w:rsidRPr="00AE4297">
        <w:rPr>
          <w:rFonts w:ascii="Arial" w:hAnsi="Arial" w:cs="Arial"/>
          <w:bCs/>
          <w:sz w:val="20"/>
          <w:szCs w:val="20"/>
          <w:lang w:val="en-US"/>
        </w:rPr>
        <w:t>extremulsions</w:t>
      </w:r>
      <w:proofErr w:type="spellEnd"/>
      <w:r w:rsidRPr="00AE4297">
        <w:rPr>
          <w:rFonts w:ascii="Arial" w:hAnsi="Arial" w:cs="Arial"/>
          <w:bCs/>
          <w:sz w:val="20"/>
          <w:szCs w:val="20"/>
          <w:lang w:val="en-US"/>
        </w:rPr>
        <w:t xml:space="preserve"> derived from Curcuma longa in improving the </w:t>
      </w:r>
      <w:proofErr w:type="spellStart"/>
      <w:r w:rsidRPr="00AE4297">
        <w:rPr>
          <w:rFonts w:ascii="Arial" w:hAnsi="Arial" w:cs="Arial"/>
          <w:bCs/>
          <w:sz w:val="20"/>
          <w:szCs w:val="20"/>
          <w:lang w:val="en-US"/>
        </w:rPr>
        <w:t>bioaccessibility</w:t>
      </w:r>
      <w:proofErr w:type="spellEnd"/>
      <w:r w:rsidRPr="00AE4297">
        <w:rPr>
          <w:rFonts w:ascii="Arial" w:hAnsi="Arial" w:cs="Arial"/>
          <w:bCs/>
          <w:sz w:val="20"/>
          <w:szCs w:val="20"/>
          <w:lang w:val="en-US"/>
        </w:rPr>
        <w:t xml:space="preserve"> and enterocyte uptake of curcumin. Following this proof of concept, we now aim to explore the potential of this technology for the design of </w:t>
      </w:r>
      <w:proofErr w:type="spellStart"/>
      <w:r w:rsidRPr="00AE4297">
        <w:rPr>
          <w:rFonts w:ascii="Arial" w:hAnsi="Arial" w:cs="Arial"/>
          <w:bCs/>
          <w:sz w:val="20"/>
          <w:szCs w:val="20"/>
          <w:lang w:val="en-US"/>
        </w:rPr>
        <w:t>extremulsions</w:t>
      </w:r>
      <w:proofErr w:type="spellEnd"/>
      <w:r w:rsidRPr="00AE4297">
        <w:rPr>
          <w:rFonts w:ascii="Arial" w:hAnsi="Arial" w:cs="Arial"/>
          <w:bCs/>
          <w:sz w:val="20"/>
          <w:szCs w:val="20"/>
          <w:lang w:val="en-US"/>
        </w:rPr>
        <w:t xml:space="preserve"> enriched with lutein and zeaxanthin, two lipophilic molecules that belong to the carotenoid family and that have been shown to be involved in visual function. We </w:t>
      </w:r>
      <w:proofErr w:type="spellStart"/>
      <w:r w:rsidRPr="00AE4297">
        <w:rPr>
          <w:rFonts w:ascii="Arial" w:hAnsi="Arial" w:cs="Arial"/>
          <w:bCs/>
          <w:sz w:val="20"/>
          <w:szCs w:val="20"/>
          <w:lang w:val="en-US"/>
        </w:rPr>
        <w:t>hypothetize</w:t>
      </w:r>
      <w:proofErr w:type="spellEnd"/>
      <w:r w:rsidRPr="00AE4297">
        <w:rPr>
          <w:rFonts w:ascii="Arial" w:hAnsi="Arial" w:cs="Arial"/>
          <w:bCs/>
          <w:sz w:val="20"/>
          <w:szCs w:val="20"/>
          <w:lang w:val="en-US"/>
        </w:rPr>
        <w:t xml:space="preserve"> that lutein- and zeaxanthin-loaded </w:t>
      </w:r>
      <w:proofErr w:type="spellStart"/>
      <w:r w:rsidRPr="00AE4297">
        <w:rPr>
          <w:rFonts w:ascii="Arial" w:hAnsi="Arial" w:cs="Arial"/>
          <w:bCs/>
          <w:sz w:val="20"/>
          <w:szCs w:val="20"/>
          <w:lang w:val="en-US"/>
        </w:rPr>
        <w:t>extremulsions</w:t>
      </w:r>
      <w:proofErr w:type="spellEnd"/>
      <w:r w:rsidRPr="00AE4297">
        <w:rPr>
          <w:rFonts w:ascii="Arial" w:hAnsi="Arial" w:cs="Arial"/>
          <w:bCs/>
          <w:sz w:val="20"/>
          <w:szCs w:val="20"/>
          <w:lang w:val="en-US"/>
        </w:rPr>
        <w:t xml:space="preserve"> could be of high interest to prevent and delay the progression of age-related macular degeneration (AMD)</w:t>
      </w:r>
      <w:r w:rsidRPr="00AE4297">
        <w:rPr>
          <w:rFonts w:ascii="Arial" w:hAnsi="Arial" w:cs="Arial"/>
          <w:bCs/>
          <w:sz w:val="20"/>
          <w:szCs w:val="20"/>
          <w:vertAlign w:val="superscript"/>
          <w:lang w:val="en-US"/>
        </w:rPr>
        <w:t>2</w:t>
      </w:r>
      <w:r w:rsidR="00A56638" w:rsidRPr="00AE4297">
        <w:rPr>
          <w:rFonts w:ascii="Arial" w:hAnsi="Arial" w:cs="Arial"/>
          <w:bCs/>
          <w:sz w:val="20"/>
          <w:szCs w:val="20"/>
          <w:vertAlign w:val="superscript"/>
          <w:lang w:val="en-US"/>
        </w:rPr>
        <w:t xml:space="preserve"> </w:t>
      </w:r>
      <w:r w:rsidRPr="00AE4297">
        <w:rPr>
          <w:rFonts w:ascii="Arial" w:hAnsi="Arial" w:cs="Arial"/>
          <w:bCs/>
          <w:sz w:val="20"/>
          <w:szCs w:val="20"/>
          <w:lang w:val="en-US"/>
        </w:rPr>
        <w:t xml:space="preserve">and neurocognitive disorders. </w:t>
      </w:r>
    </w:p>
    <w:p w14:paraId="5BCBF13A" w14:textId="72DEB777" w:rsidR="00452CCD" w:rsidRPr="005C7B45" w:rsidRDefault="001E7650" w:rsidP="004E467E">
      <w:pPr>
        <w:ind w:left="1560"/>
        <w:jc w:val="both"/>
        <w:rPr>
          <w:b/>
          <w:lang w:val="en-US"/>
        </w:rPr>
      </w:pPr>
      <w:r w:rsidRPr="005C7B45">
        <w:rPr>
          <w:b/>
          <w:lang w:val="en-US"/>
        </w:rPr>
        <w:t xml:space="preserve">Domaine / </w:t>
      </w:r>
      <w:proofErr w:type="spellStart"/>
      <w:proofErr w:type="gramStart"/>
      <w:r w:rsidRPr="005C7B45">
        <w:rPr>
          <w:b/>
          <w:lang w:val="en-US"/>
        </w:rPr>
        <w:t>Thématique</w:t>
      </w:r>
      <w:proofErr w:type="spellEnd"/>
      <w:r w:rsidR="00F42D82" w:rsidRPr="005C7B45">
        <w:rPr>
          <w:b/>
          <w:lang w:val="en-US"/>
        </w:rPr>
        <w:t xml:space="preserve"> </w:t>
      </w:r>
      <w:r w:rsidRPr="005C7B45">
        <w:rPr>
          <w:b/>
          <w:lang w:val="en-US"/>
        </w:rPr>
        <w:t>:</w:t>
      </w:r>
      <w:proofErr w:type="gramEnd"/>
      <w:r w:rsidR="00B54D6E" w:rsidRPr="005C7B45">
        <w:rPr>
          <w:b/>
          <w:lang w:val="en-US"/>
        </w:rPr>
        <w:t xml:space="preserve"> </w:t>
      </w:r>
      <w:r w:rsidR="00A56638" w:rsidRPr="005C7B45">
        <w:rPr>
          <w:rFonts w:ascii="Arial" w:hAnsi="Arial" w:cs="Arial"/>
          <w:bCs/>
          <w:sz w:val="20"/>
          <w:szCs w:val="20"/>
          <w:lang w:val="en-US"/>
        </w:rPr>
        <w:t>Green chemistry</w:t>
      </w:r>
      <w:r w:rsidR="00B54D6E" w:rsidRPr="005C7B45">
        <w:rPr>
          <w:rFonts w:ascii="Arial" w:hAnsi="Arial" w:cs="Arial"/>
          <w:bCs/>
          <w:sz w:val="20"/>
          <w:szCs w:val="20"/>
          <w:lang w:val="en-US"/>
        </w:rPr>
        <w:t xml:space="preserve">, </w:t>
      </w:r>
      <w:r w:rsidR="00A56638" w:rsidRPr="005C7B45">
        <w:rPr>
          <w:rFonts w:ascii="Arial" w:hAnsi="Arial" w:cs="Arial"/>
          <w:bCs/>
          <w:sz w:val="20"/>
          <w:szCs w:val="20"/>
          <w:lang w:val="en-US"/>
        </w:rPr>
        <w:t>natural products</w:t>
      </w:r>
      <w:r w:rsidR="00B54D6E" w:rsidRPr="005C7B45">
        <w:rPr>
          <w:rFonts w:ascii="Arial" w:hAnsi="Arial" w:cs="Arial"/>
          <w:bCs/>
          <w:sz w:val="20"/>
          <w:szCs w:val="20"/>
          <w:lang w:val="en-US"/>
        </w:rPr>
        <w:t xml:space="preserve">, extraction/formulation, </w:t>
      </w:r>
      <w:r w:rsidR="007F14E0" w:rsidRPr="005C7B45">
        <w:rPr>
          <w:rFonts w:ascii="Arial" w:hAnsi="Arial" w:cs="Arial"/>
          <w:bCs/>
          <w:sz w:val="20"/>
          <w:szCs w:val="20"/>
          <w:lang w:val="en-US"/>
        </w:rPr>
        <w:t xml:space="preserve">nutrition, </w:t>
      </w:r>
      <w:r w:rsidR="00A56638" w:rsidRPr="005C7B45">
        <w:rPr>
          <w:rFonts w:ascii="Arial" w:hAnsi="Arial" w:cs="Arial"/>
          <w:bCs/>
          <w:sz w:val="20"/>
          <w:szCs w:val="20"/>
          <w:lang w:val="en-US"/>
        </w:rPr>
        <w:t>bioavailability</w:t>
      </w:r>
      <w:r w:rsidR="004328F7" w:rsidRPr="005C7B45">
        <w:rPr>
          <w:rFonts w:ascii="Arial" w:hAnsi="Arial" w:cs="Arial"/>
          <w:bCs/>
          <w:sz w:val="20"/>
          <w:szCs w:val="20"/>
          <w:lang w:val="en-US"/>
        </w:rPr>
        <w:t>.</w:t>
      </w:r>
    </w:p>
    <w:p w14:paraId="39F21BE2" w14:textId="77777777" w:rsidR="00965763" w:rsidRPr="005C7B45" w:rsidRDefault="001E7650">
      <w:pPr>
        <w:ind w:left="1560"/>
        <w:rPr>
          <w:b/>
          <w:lang w:val="en-US"/>
        </w:rPr>
      </w:pPr>
      <w:proofErr w:type="gramStart"/>
      <w:r w:rsidRPr="005C7B45">
        <w:rPr>
          <w:b/>
          <w:lang w:val="en-US"/>
        </w:rPr>
        <w:t>Objectif :</w:t>
      </w:r>
      <w:proofErr w:type="gramEnd"/>
    </w:p>
    <w:p w14:paraId="18247077" w14:textId="76F44A78" w:rsidR="001E7650" w:rsidRPr="00AE4297" w:rsidRDefault="005D5E1D" w:rsidP="00965763">
      <w:pPr>
        <w:ind w:left="1560"/>
        <w:jc w:val="both"/>
        <w:rPr>
          <w:lang w:val="en-US"/>
        </w:rPr>
      </w:pPr>
      <w:r w:rsidRPr="00AE4297">
        <w:rPr>
          <w:rFonts w:ascii="Arial" w:hAnsi="Arial" w:cs="Arial"/>
          <w:bCs/>
          <w:sz w:val="20"/>
          <w:szCs w:val="20"/>
          <w:lang w:val="en-US"/>
        </w:rPr>
        <w:t xml:space="preserve">The main aim of this PhD project is to prepare stable lutein- and zeaxanthin-rich formulations and to explore their </w:t>
      </w:r>
      <w:proofErr w:type="spellStart"/>
      <w:r w:rsidRPr="00AE4297">
        <w:rPr>
          <w:rFonts w:ascii="Arial" w:hAnsi="Arial" w:cs="Arial"/>
          <w:bCs/>
          <w:sz w:val="20"/>
          <w:szCs w:val="20"/>
          <w:lang w:val="en-US"/>
        </w:rPr>
        <w:t>bioaccessibility</w:t>
      </w:r>
      <w:proofErr w:type="spellEnd"/>
      <w:r w:rsidRPr="00AE4297">
        <w:rPr>
          <w:rFonts w:ascii="Arial" w:hAnsi="Arial" w:cs="Arial"/>
          <w:bCs/>
          <w:sz w:val="20"/>
          <w:szCs w:val="20"/>
          <w:lang w:val="en-US"/>
        </w:rPr>
        <w:t xml:space="preserve"> and </w:t>
      </w:r>
      <w:proofErr w:type="spellStart"/>
      <w:r w:rsidRPr="00AE4297">
        <w:rPr>
          <w:rFonts w:ascii="Arial" w:hAnsi="Arial" w:cs="Arial"/>
          <w:bCs/>
          <w:sz w:val="20"/>
          <w:szCs w:val="20"/>
          <w:lang w:val="en-US"/>
        </w:rPr>
        <w:t>absorbtion</w:t>
      </w:r>
      <w:proofErr w:type="spellEnd"/>
      <w:r w:rsidRPr="00AE4297">
        <w:rPr>
          <w:rFonts w:ascii="Arial" w:hAnsi="Arial" w:cs="Arial"/>
          <w:bCs/>
          <w:sz w:val="20"/>
          <w:szCs w:val="20"/>
          <w:lang w:val="en-US"/>
        </w:rPr>
        <w:t xml:space="preserve"> by intestinal cells in an in vitro gastro-intestinal digestion model. </w:t>
      </w:r>
    </w:p>
    <w:p w14:paraId="48FB4405" w14:textId="77777777" w:rsidR="001E7650" w:rsidRPr="005C7B45" w:rsidRDefault="001E7650">
      <w:pPr>
        <w:ind w:left="1560"/>
        <w:rPr>
          <w:b/>
          <w:lang w:val="en-US"/>
        </w:rPr>
      </w:pPr>
      <w:proofErr w:type="spellStart"/>
      <w:r w:rsidRPr="005C7B45">
        <w:rPr>
          <w:b/>
          <w:lang w:val="en-US"/>
        </w:rPr>
        <w:t>Contexte</w:t>
      </w:r>
      <w:proofErr w:type="spellEnd"/>
      <w:r w:rsidRPr="005C7B45">
        <w:rPr>
          <w:b/>
          <w:lang w:val="en-US"/>
        </w:rPr>
        <w:t xml:space="preserve"> et </w:t>
      </w:r>
      <w:proofErr w:type="spellStart"/>
      <w:proofErr w:type="gramStart"/>
      <w:r w:rsidRPr="005C7B45">
        <w:rPr>
          <w:b/>
          <w:lang w:val="en-US"/>
        </w:rPr>
        <w:t>enjeux</w:t>
      </w:r>
      <w:proofErr w:type="spellEnd"/>
      <w:r w:rsidRPr="005C7B45">
        <w:rPr>
          <w:b/>
          <w:lang w:val="en-US"/>
        </w:rPr>
        <w:t xml:space="preserve"> :</w:t>
      </w:r>
      <w:proofErr w:type="gramEnd"/>
    </w:p>
    <w:p w14:paraId="6150EF02" w14:textId="3D4D56D0" w:rsidR="00A56638" w:rsidRPr="00AE4297" w:rsidRDefault="00A56638" w:rsidP="00AE4297">
      <w:pPr>
        <w:ind w:left="1560"/>
        <w:jc w:val="both"/>
        <w:rPr>
          <w:rFonts w:ascii="Arial" w:hAnsi="Arial" w:cs="Arial"/>
          <w:bCs/>
          <w:sz w:val="20"/>
          <w:szCs w:val="20"/>
          <w:lang w:val="en-US"/>
        </w:rPr>
      </w:pPr>
      <w:r w:rsidRPr="00AE4297">
        <w:rPr>
          <w:rFonts w:ascii="Arial" w:hAnsi="Arial" w:cs="Arial"/>
          <w:bCs/>
          <w:sz w:val="20"/>
          <w:szCs w:val="20"/>
          <w:lang w:val="en-US"/>
        </w:rPr>
        <w:t>The search for alternatives to the use of organic solvents, which can result in the denaturation of bioactive molecules, and/or energy-consuming extraction processes is a major ecological, economic and scientific issue for the EUR IMPLANTEUS. Despite the ubiquity of water in plants, many plant-derived bioactive molecules (carotenoids, phytosterols, phylloquinone, etc.) exhibit poor solubility in water, which hampers their efficient extraction in a solvent-free middle.</w:t>
      </w:r>
      <w:r w:rsidR="006E2DCA" w:rsidRPr="00AE4297">
        <w:rPr>
          <w:rFonts w:ascii="Arial" w:hAnsi="Arial" w:cs="Arial"/>
          <w:bCs/>
          <w:sz w:val="20"/>
          <w:szCs w:val="20"/>
          <w:vertAlign w:val="superscript"/>
          <w:lang w:val="en-US"/>
        </w:rPr>
        <w:t>3</w:t>
      </w:r>
      <w:r w:rsidRPr="00AE4297">
        <w:rPr>
          <w:rFonts w:ascii="Arial" w:hAnsi="Arial" w:cs="Arial"/>
          <w:bCs/>
          <w:sz w:val="20"/>
          <w:szCs w:val="20"/>
          <w:lang w:val="en-US"/>
        </w:rPr>
        <w:t xml:space="preserve"> In this context, the CBSA team recently developed an innovative process for the extraction of lipophilic bioactive molecules in an oil in water solution (mainly composed of water), with the addition of natural or synthetic “GRAS” (generally recognized as safe) surfactants. The latter process provides, in a limited number of steps, </w:t>
      </w:r>
      <w:proofErr w:type="spellStart"/>
      <w:r w:rsidRPr="00AE4297">
        <w:rPr>
          <w:rFonts w:ascii="Arial" w:hAnsi="Arial" w:cs="Arial"/>
          <w:bCs/>
          <w:sz w:val="20"/>
          <w:szCs w:val="20"/>
          <w:lang w:val="en-US"/>
        </w:rPr>
        <w:t>nano</w:t>
      </w:r>
      <w:proofErr w:type="spellEnd"/>
      <w:r w:rsidRPr="00AE4297">
        <w:rPr>
          <w:rFonts w:ascii="Arial" w:hAnsi="Arial" w:cs="Arial"/>
          <w:bCs/>
          <w:sz w:val="20"/>
          <w:szCs w:val="20"/>
          <w:lang w:val="en-US"/>
        </w:rPr>
        <w:t>- or microemulsion type plant extracts enriched with liposoluble molecules of interest. These extract-emulsions, patented under the name “extremulsions”,</w:t>
      </w:r>
      <w:r w:rsidRPr="00AE4297">
        <w:rPr>
          <w:rFonts w:ascii="Arial" w:hAnsi="Arial" w:cs="Arial"/>
          <w:bCs/>
          <w:sz w:val="20"/>
          <w:szCs w:val="20"/>
          <w:vertAlign w:val="superscript"/>
          <w:lang w:val="en-US"/>
        </w:rPr>
        <w:t>1</w:t>
      </w:r>
      <w:r w:rsidRPr="00AE4297">
        <w:rPr>
          <w:rFonts w:ascii="Arial" w:hAnsi="Arial" w:cs="Arial"/>
          <w:bCs/>
          <w:sz w:val="20"/>
          <w:szCs w:val="20"/>
          <w:lang w:val="en-US"/>
        </w:rPr>
        <w:t xml:space="preserve"> undergo a final freeze-drying step resulting in dry formulations, which can be stored for several months in the form of powders, easy to exchange within a consortium and to reconstitute by simple addition of water without noticeable change in their characteristics (nanometric size of the droplets, composition of the emulsion). </w:t>
      </w:r>
    </w:p>
    <w:p w14:paraId="78EDFF1B" w14:textId="013503A0" w:rsidR="00A56638" w:rsidRPr="00AE4297" w:rsidRDefault="00A56638" w:rsidP="00AE4297">
      <w:pPr>
        <w:ind w:left="1560"/>
        <w:jc w:val="both"/>
        <w:rPr>
          <w:rFonts w:ascii="Arial" w:hAnsi="Arial" w:cs="Arial"/>
          <w:bCs/>
          <w:sz w:val="20"/>
          <w:szCs w:val="20"/>
          <w:lang w:val="en-US"/>
        </w:rPr>
      </w:pPr>
      <w:r w:rsidRPr="00AE4297">
        <w:rPr>
          <w:rFonts w:ascii="Arial" w:hAnsi="Arial" w:cs="Arial"/>
          <w:bCs/>
          <w:sz w:val="20"/>
          <w:szCs w:val="20"/>
          <w:lang w:val="en-US"/>
        </w:rPr>
        <w:lastRenderedPageBreak/>
        <w:t xml:space="preserve">This process has been implemented during the PhD project of Alice </w:t>
      </w:r>
      <w:proofErr w:type="spellStart"/>
      <w:r w:rsidRPr="00AE4297">
        <w:rPr>
          <w:rFonts w:ascii="Arial" w:hAnsi="Arial" w:cs="Arial"/>
          <w:bCs/>
          <w:sz w:val="20"/>
          <w:szCs w:val="20"/>
          <w:lang w:val="en-US"/>
        </w:rPr>
        <w:t>Dall'Armellina</w:t>
      </w:r>
      <w:proofErr w:type="spellEnd"/>
      <w:r w:rsidRPr="00AE4297">
        <w:rPr>
          <w:rFonts w:ascii="Arial" w:hAnsi="Arial" w:cs="Arial"/>
          <w:bCs/>
          <w:sz w:val="20"/>
          <w:szCs w:val="20"/>
          <w:lang w:val="en-US"/>
        </w:rPr>
        <w:t xml:space="preserve"> (final year PhD student at ED 536 of Avignon University), which aimed to prepare optimized curcumin-loaded </w:t>
      </w:r>
      <w:proofErr w:type="spellStart"/>
      <w:r w:rsidRPr="00AE4297">
        <w:rPr>
          <w:rFonts w:ascii="Arial" w:hAnsi="Arial" w:cs="Arial"/>
          <w:bCs/>
          <w:sz w:val="20"/>
          <w:szCs w:val="20"/>
          <w:lang w:val="en-US"/>
        </w:rPr>
        <w:t>extremulsions</w:t>
      </w:r>
      <w:proofErr w:type="spellEnd"/>
      <w:r w:rsidRPr="00AE4297">
        <w:rPr>
          <w:rFonts w:ascii="Arial" w:hAnsi="Arial" w:cs="Arial"/>
          <w:bCs/>
          <w:sz w:val="20"/>
          <w:szCs w:val="20"/>
          <w:lang w:val="en-US"/>
        </w:rPr>
        <w:t xml:space="preserve"> from Curcuma longa (publication submitted to Green Chemistry Journal). Thanks to the SFR </w:t>
      </w:r>
      <w:proofErr w:type="spellStart"/>
      <w:r w:rsidRPr="00AE4297">
        <w:rPr>
          <w:rFonts w:ascii="Arial" w:hAnsi="Arial" w:cs="Arial"/>
          <w:bCs/>
          <w:sz w:val="20"/>
          <w:szCs w:val="20"/>
          <w:lang w:val="en-US"/>
        </w:rPr>
        <w:t>Tersys</w:t>
      </w:r>
      <w:proofErr w:type="spellEnd"/>
      <w:r w:rsidRPr="00AE4297">
        <w:rPr>
          <w:rFonts w:ascii="Arial" w:hAnsi="Arial" w:cs="Arial"/>
          <w:bCs/>
          <w:sz w:val="20"/>
          <w:szCs w:val="20"/>
          <w:lang w:val="en-US"/>
        </w:rPr>
        <w:t xml:space="preserve"> network, the C2VN team has emerged as a partner of choice to demonstrate the ability of these </w:t>
      </w:r>
      <w:proofErr w:type="spellStart"/>
      <w:r w:rsidRPr="00AE4297">
        <w:rPr>
          <w:rFonts w:ascii="Arial" w:hAnsi="Arial" w:cs="Arial"/>
          <w:bCs/>
          <w:sz w:val="20"/>
          <w:szCs w:val="20"/>
          <w:lang w:val="en-US"/>
        </w:rPr>
        <w:t>extremulsions</w:t>
      </w:r>
      <w:proofErr w:type="spellEnd"/>
      <w:r w:rsidRPr="00AE4297">
        <w:rPr>
          <w:rFonts w:ascii="Arial" w:hAnsi="Arial" w:cs="Arial"/>
          <w:bCs/>
          <w:sz w:val="20"/>
          <w:szCs w:val="20"/>
          <w:lang w:val="en-US"/>
        </w:rPr>
        <w:t xml:space="preserve"> to improve the bioavailability of curcumin, a molecule with very poor bioavailability. Indeed, Patrick </w:t>
      </w:r>
      <w:proofErr w:type="spellStart"/>
      <w:r w:rsidRPr="00AE4297">
        <w:rPr>
          <w:rFonts w:ascii="Arial" w:hAnsi="Arial" w:cs="Arial"/>
          <w:bCs/>
          <w:sz w:val="20"/>
          <w:szCs w:val="20"/>
          <w:lang w:val="en-US"/>
        </w:rPr>
        <w:t>Borel's</w:t>
      </w:r>
      <w:proofErr w:type="spellEnd"/>
      <w:r w:rsidRPr="00AE4297">
        <w:rPr>
          <w:rFonts w:ascii="Arial" w:hAnsi="Arial" w:cs="Arial"/>
          <w:bCs/>
          <w:sz w:val="20"/>
          <w:szCs w:val="20"/>
          <w:lang w:val="en-US"/>
        </w:rPr>
        <w:t xml:space="preserve"> team at C2VN routinely uses an in vitro digestion model to measure the stability and distribution of nutrients in the phases co-existing during the digestion of different foods.</w:t>
      </w:r>
      <w:r w:rsidR="006E2DCA">
        <w:rPr>
          <w:rFonts w:ascii="Arial" w:hAnsi="Arial" w:cs="Arial"/>
          <w:bCs/>
          <w:sz w:val="20"/>
          <w:szCs w:val="20"/>
          <w:vertAlign w:val="superscript"/>
          <w:lang w:val="en-US"/>
        </w:rPr>
        <w:t>4</w:t>
      </w:r>
      <w:r w:rsidRPr="00AE4297">
        <w:rPr>
          <w:rFonts w:ascii="Arial" w:hAnsi="Arial" w:cs="Arial"/>
          <w:bCs/>
          <w:sz w:val="20"/>
          <w:szCs w:val="20"/>
          <w:lang w:val="en-US"/>
        </w:rPr>
        <w:t xml:space="preserve"> This model allows the calculation of the </w:t>
      </w:r>
      <w:proofErr w:type="spellStart"/>
      <w:r w:rsidRPr="00AE4297">
        <w:rPr>
          <w:rFonts w:ascii="Arial" w:hAnsi="Arial" w:cs="Arial"/>
          <w:bCs/>
          <w:sz w:val="20"/>
          <w:szCs w:val="20"/>
          <w:lang w:val="en-US"/>
        </w:rPr>
        <w:t>bioaccessibility</w:t>
      </w:r>
      <w:proofErr w:type="spellEnd"/>
      <w:r w:rsidRPr="00AE4297">
        <w:rPr>
          <w:rFonts w:ascii="Arial" w:hAnsi="Arial" w:cs="Arial"/>
          <w:bCs/>
          <w:sz w:val="20"/>
          <w:szCs w:val="20"/>
          <w:lang w:val="en-US"/>
        </w:rPr>
        <w:t xml:space="preserve"> of these molecules, i.e. the relative quantity available for absorption by intestinal cells, which is considered to be a good estimate of their bioavailability. In addition, the team uses a model of enterocyte cells, namely Caco-2 cells, to study the uptake and absorption of molecules incorporated in formulations or obtained from in vitro digestion fluids (mixed micelles). Recent work has thus shown that curcumin from </w:t>
      </w:r>
      <w:proofErr w:type="spellStart"/>
      <w:r w:rsidRPr="00AE4297">
        <w:rPr>
          <w:rFonts w:ascii="Arial" w:hAnsi="Arial" w:cs="Arial"/>
          <w:bCs/>
          <w:sz w:val="20"/>
          <w:szCs w:val="20"/>
          <w:lang w:val="en-US"/>
        </w:rPr>
        <w:t>extremulsions</w:t>
      </w:r>
      <w:proofErr w:type="spellEnd"/>
      <w:r w:rsidRPr="00AE4297">
        <w:rPr>
          <w:rFonts w:ascii="Arial" w:hAnsi="Arial" w:cs="Arial"/>
          <w:bCs/>
          <w:sz w:val="20"/>
          <w:szCs w:val="20"/>
          <w:lang w:val="en-US"/>
        </w:rPr>
        <w:t xml:space="preserve"> is significantly more </w:t>
      </w:r>
      <w:proofErr w:type="spellStart"/>
      <w:r w:rsidRPr="00AE4297">
        <w:rPr>
          <w:rFonts w:ascii="Arial" w:hAnsi="Arial" w:cs="Arial"/>
          <w:bCs/>
          <w:sz w:val="20"/>
          <w:szCs w:val="20"/>
          <w:lang w:val="en-US"/>
        </w:rPr>
        <w:t>bioaccessible</w:t>
      </w:r>
      <w:proofErr w:type="spellEnd"/>
      <w:r w:rsidRPr="00AE4297">
        <w:rPr>
          <w:rFonts w:ascii="Arial" w:hAnsi="Arial" w:cs="Arial"/>
          <w:bCs/>
          <w:sz w:val="20"/>
          <w:szCs w:val="20"/>
          <w:lang w:val="en-US"/>
        </w:rPr>
        <w:t xml:space="preserve"> than curcumin in commercial formulations (curcumin adsorbed on silica), regardless of the food used (publication in preparation). </w:t>
      </w:r>
    </w:p>
    <w:p w14:paraId="105E9271" w14:textId="15682BF0" w:rsidR="00A56638" w:rsidRPr="00AE4297" w:rsidRDefault="00A56638" w:rsidP="00A56638">
      <w:pPr>
        <w:ind w:left="1560"/>
        <w:jc w:val="both"/>
        <w:rPr>
          <w:rFonts w:ascii="Arial" w:hAnsi="Arial" w:cs="Arial"/>
          <w:bCs/>
          <w:sz w:val="20"/>
          <w:szCs w:val="20"/>
          <w:lang w:val="en-US"/>
        </w:rPr>
      </w:pPr>
      <w:r w:rsidRPr="00AE4297">
        <w:rPr>
          <w:rFonts w:ascii="Arial" w:hAnsi="Arial" w:cs="Arial"/>
          <w:bCs/>
          <w:sz w:val="20"/>
          <w:szCs w:val="20"/>
          <w:lang w:val="en-US"/>
        </w:rPr>
        <w:t>Building on the complementarity and know-how of our teams, we now propose to jointly explore the potential of this innovative technology for the development of dry formulations of xanthophylls that could be used as food supplements or for the fortification of foods commonly consumed, e.g. yogurts, flours. These pigments are present in many vegetables and fruits (broccoli, corn, spinach, etc.) but their bioavailability is relatively low and very variable, in particular because of the interactions with the plant matrix in which they are present.</w:t>
      </w:r>
      <w:r w:rsidR="006E2DCA" w:rsidRPr="00AE4297">
        <w:rPr>
          <w:rFonts w:ascii="Arial" w:hAnsi="Arial" w:cs="Arial"/>
          <w:bCs/>
          <w:sz w:val="20"/>
          <w:szCs w:val="20"/>
          <w:vertAlign w:val="superscript"/>
          <w:lang w:val="en-US"/>
        </w:rPr>
        <w:t>5,6</w:t>
      </w:r>
      <w:r w:rsidRPr="00AE4297">
        <w:rPr>
          <w:rFonts w:ascii="Arial" w:hAnsi="Arial" w:cs="Arial"/>
          <w:bCs/>
          <w:sz w:val="20"/>
          <w:szCs w:val="20"/>
          <w:lang w:val="en-US"/>
        </w:rPr>
        <w:t xml:space="preserve"> The consumption of their main food sources remains low in a large part of the French population, thereby providing a rationale for an increase of their consumption via food supplements or via the fortification of other foods more commonly consumed (dairy products, flour or others) for people at risk of developing eye or neurodegenerative pathologies (family history, low consumers of fruits and vegetables, smokers, etc.). In addition to improving their bioavailability, the incorporation of these antioxidant molecules into </w:t>
      </w:r>
      <w:proofErr w:type="spellStart"/>
      <w:r w:rsidRPr="00AE4297">
        <w:rPr>
          <w:rFonts w:ascii="Arial" w:hAnsi="Arial" w:cs="Arial"/>
          <w:bCs/>
          <w:sz w:val="20"/>
          <w:szCs w:val="20"/>
          <w:lang w:val="en-US"/>
        </w:rPr>
        <w:t>extremulsions</w:t>
      </w:r>
      <w:proofErr w:type="spellEnd"/>
      <w:r w:rsidRPr="00AE4297">
        <w:rPr>
          <w:rFonts w:ascii="Arial" w:hAnsi="Arial" w:cs="Arial"/>
          <w:bCs/>
          <w:sz w:val="20"/>
          <w:szCs w:val="20"/>
          <w:lang w:val="en-US"/>
        </w:rPr>
        <w:t xml:space="preserve"> should also protect them from oxidative degradation, therefore increasing their health benefits.</w:t>
      </w:r>
      <w:r w:rsidR="006E2DCA">
        <w:rPr>
          <w:rFonts w:ascii="Arial" w:hAnsi="Arial" w:cs="Arial"/>
          <w:bCs/>
          <w:sz w:val="20"/>
          <w:szCs w:val="20"/>
          <w:vertAlign w:val="superscript"/>
          <w:lang w:val="en-US"/>
        </w:rPr>
        <w:t>7</w:t>
      </w:r>
      <w:r w:rsidRPr="00AE4297">
        <w:rPr>
          <w:rFonts w:ascii="Arial" w:hAnsi="Arial" w:cs="Arial"/>
          <w:bCs/>
          <w:sz w:val="20"/>
          <w:szCs w:val="20"/>
          <w:lang w:val="en-US"/>
        </w:rPr>
        <w:t xml:space="preserve"> The green extraction and powder preparation conditions will be optimized to maximize the stability and </w:t>
      </w:r>
      <w:proofErr w:type="spellStart"/>
      <w:r w:rsidRPr="00AE4297">
        <w:rPr>
          <w:rFonts w:ascii="Arial" w:hAnsi="Arial" w:cs="Arial"/>
          <w:bCs/>
          <w:sz w:val="20"/>
          <w:szCs w:val="20"/>
          <w:lang w:val="en-US"/>
        </w:rPr>
        <w:t>bioaccessibility</w:t>
      </w:r>
      <w:proofErr w:type="spellEnd"/>
      <w:r w:rsidRPr="00AE4297">
        <w:rPr>
          <w:rFonts w:ascii="Arial" w:hAnsi="Arial" w:cs="Arial"/>
          <w:bCs/>
          <w:sz w:val="20"/>
          <w:szCs w:val="20"/>
          <w:lang w:val="en-US"/>
        </w:rPr>
        <w:t xml:space="preserve"> of xanthophylls (design of experiments approach). Finally, this work could find applications beyond the field of the food industry and could notably lead to the development of food supplements, given the demonstrated potential of these two xanthophylls to prevent AMD and neurocognitive disorders.</w:t>
      </w:r>
    </w:p>
    <w:p w14:paraId="7F852979" w14:textId="77777777" w:rsidR="0002212F" w:rsidRDefault="001E7650">
      <w:pPr>
        <w:ind w:left="1560"/>
        <w:rPr>
          <w:b/>
        </w:rPr>
      </w:pPr>
      <w:r>
        <w:rPr>
          <w:b/>
        </w:rPr>
        <w:t>Références bibliographiques :</w:t>
      </w:r>
    </w:p>
    <w:p w14:paraId="32950DC1" w14:textId="77777777" w:rsidR="002C251C" w:rsidRPr="0088744E" w:rsidRDefault="0002212F" w:rsidP="0088744E">
      <w:pPr>
        <w:spacing w:after="60"/>
        <w:ind w:left="1559"/>
        <w:rPr>
          <w:rFonts w:ascii="Arial" w:hAnsi="Arial" w:cs="Arial"/>
          <w:bCs/>
          <w:sz w:val="16"/>
          <w:szCs w:val="16"/>
        </w:rPr>
      </w:pPr>
      <w:r w:rsidRPr="0088744E">
        <w:rPr>
          <w:rFonts w:ascii="Arial" w:hAnsi="Arial" w:cs="Arial"/>
          <w:b/>
          <w:sz w:val="16"/>
          <w:szCs w:val="16"/>
        </w:rPr>
        <w:t>1-</w:t>
      </w:r>
      <w:r w:rsidRPr="0088744E">
        <w:rPr>
          <w:rFonts w:ascii="Arial" w:hAnsi="Arial" w:cs="Arial"/>
          <w:bCs/>
          <w:sz w:val="16"/>
          <w:szCs w:val="16"/>
        </w:rPr>
        <w:t xml:space="preserve"> C. </w:t>
      </w:r>
      <w:proofErr w:type="spellStart"/>
      <w:r w:rsidRPr="0088744E">
        <w:rPr>
          <w:rFonts w:ascii="Arial" w:hAnsi="Arial" w:cs="Arial"/>
          <w:bCs/>
          <w:sz w:val="16"/>
          <w:szCs w:val="16"/>
        </w:rPr>
        <w:t>Contino</w:t>
      </w:r>
      <w:proofErr w:type="spellEnd"/>
      <w:r w:rsidRPr="0088744E">
        <w:rPr>
          <w:rFonts w:ascii="Arial" w:hAnsi="Arial" w:cs="Arial"/>
          <w:bCs/>
          <w:sz w:val="16"/>
          <w:szCs w:val="16"/>
        </w:rPr>
        <w:t>-Pépin et al, 2020, WO 2020/109418A1.</w:t>
      </w:r>
    </w:p>
    <w:p w14:paraId="1B3D7643" w14:textId="77777777" w:rsidR="002C251C" w:rsidRPr="0088744E" w:rsidRDefault="002C251C" w:rsidP="0088744E">
      <w:pPr>
        <w:spacing w:after="60"/>
        <w:ind w:left="1559"/>
        <w:rPr>
          <w:rFonts w:ascii="Arial" w:hAnsi="Arial" w:cs="Arial"/>
          <w:bCs/>
          <w:sz w:val="16"/>
          <w:szCs w:val="16"/>
          <w:lang w:val="en-US"/>
        </w:rPr>
      </w:pPr>
      <w:r w:rsidRPr="0088744E">
        <w:rPr>
          <w:rFonts w:ascii="Arial" w:hAnsi="Arial" w:cs="Arial"/>
          <w:b/>
          <w:sz w:val="16"/>
          <w:szCs w:val="16"/>
          <w:lang w:val="en-US"/>
        </w:rPr>
        <w:t>2</w:t>
      </w:r>
      <w:r w:rsidRPr="0088744E">
        <w:rPr>
          <w:rFonts w:ascii="Arial" w:hAnsi="Arial" w:cs="Arial"/>
          <w:bCs/>
          <w:sz w:val="16"/>
          <w:szCs w:val="16"/>
          <w:lang w:val="en-US"/>
        </w:rPr>
        <w:t>- J. Mares, “Lutein and Zeaxanthin Isomers in Eye Health and Disease”, Annual Review of Nutrition, 36 (2016) 571-602.</w:t>
      </w:r>
    </w:p>
    <w:p w14:paraId="1FEEB751" w14:textId="03A98D21" w:rsidR="002C251C" w:rsidRPr="0088744E" w:rsidRDefault="002C251C" w:rsidP="0088744E">
      <w:pPr>
        <w:spacing w:after="60"/>
        <w:ind w:left="1559"/>
        <w:rPr>
          <w:rFonts w:ascii="Arial" w:hAnsi="Arial" w:cs="Arial"/>
          <w:bCs/>
          <w:sz w:val="16"/>
          <w:szCs w:val="16"/>
          <w:lang w:val="en-US"/>
        </w:rPr>
      </w:pPr>
      <w:r w:rsidRPr="0088744E">
        <w:rPr>
          <w:rFonts w:ascii="Arial" w:hAnsi="Arial" w:cs="Arial"/>
          <w:b/>
          <w:sz w:val="16"/>
          <w:szCs w:val="16"/>
          <w:lang w:val="en-US"/>
        </w:rPr>
        <w:t>3</w:t>
      </w:r>
      <w:r w:rsidRPr="0088744E">
        <w:rPr>
          <w:rFonts w:ascii="Arial" w:hAnsi="Arial" w:cs="Arial"/>
          <w:bCs/>
          <w:sz w:val="16"/>
          <w:szCs w:val="16"/>
          <w:lang w:val="en-US"/>
        </w:rPr>
        <w:t xml:space="preserve">- </w:t>
      </w:r>
      <w:r w:rsidR="006E2DCA" w:rsidRPr="0088744E">
        <w:rPr>
          <w:rFonts w:ascii="Arial" w:hAnsi="Arial" w:cs="Arial"/>
          <w:bCs/>
          <w:sz w:val="16"/>
          <w:szCs w:val="16"/>
          <w:lang w:val="en-US"/>
        </w:rPr>
        <w:t xml:space="preserve">F. </w:t>
      </w:r>
      <w:proofErr w:type="spellStart"/>
      <w:r w:rsidR="006E2DCA" w:rsidRPr="0088744E">
        <w:rPr>
          <w:rFonts w:ascii="Arial" w:hAnsi="Arial" w:cs="Arial"/>
          <w:bCs/>
          <w:sz w:val="16"/>
          <w:szCs w:val="16"/>
          <w:lang w:val="en-US"/>
        </w:rPr>
        <w:t>Chemat</w:t>
      </w:r>
      <w:proofErr w:type="spellEnd"/>
      <w:r w:rsidR="006E2DCA" w:rsidRPr="0088744E">
        <w:rPr>
          <w:rFonts w:ascii="Arial" w:hAnsi="Arial" w:cs="Arial"/>
          <w:bCs/>
          <w:sz w:val="16"/>
          <w:szCs w:val="16"/>
          <w:lang w:val="en-US"/>
        </w:rPr>
        <w:t xml:space="preserve">, M. A. </w:t>
      </w:r>
      <w:proofErr w:type="spellStart"/>
      <w:r w:rsidR="006E2DCA" w:rsidRPr="0088744E">
        <w:rPr>
          <w:rFonts w:ascii="Arial" w:hAnsi="Arial" w:cs="Arial"/>
          <w:bCs/>
          <w:sz w:val="16"/>
          <w:szCs w:val="16"/>
          <w:lang w:val="en-US"/>
        </w:rPr>
        <w:t>Vian</w:t>
      </w:r>
      <w:proofErr w:type="spellEnd"/>
      <w:r w:rsidR="006E2DCA" w:rsidRPr="0088744E">
        <w:rPr>
          <w:rFonts w:ascii="Arial" w:hAnsi="Arial" w:cs="Arial"/>
          <w:bCs/>
          <w:sz w:val="16"/>
          <w:szCs w:val="16"/>
          <w:lang w:val="en-US"/>
        </w:rPr>
        <w:t>, A.-S. Fabiano-</w:t>
      </w:r>
      <w:proofErr w:type="spellStart"/>
      <w:r w:rsidR="006E2DCA" w:rsidRPr="0088744E">
        <w:rPr>
          <w:rFonts w:ascii="Arial" w:hAnsi="Arial" w:cs="Arial"/>
          <w:bCs/>
          <w:sz w:val="16"/>
          <w:szCs w:val="16"/>
          <w:lang w:val="en-US"/>
        </w:rPr>
        <w:t>Tixier</w:t>
      </w:r>
      <w:proofErr w:type="spellEnd"/>
      <w:r w:rsidR="006E2DCA" w:rsidRPr="0088744E">
        <w:rPr>
          <w:rFonts w:ascii="Arial" w:hAnsi="Arial" w:cs="Arial"/>
          <w:bCs/>
          <w:sz w:val="16"/>
          <w:szCs w:val="16"/>
          <w:lang w:val="en-US"/>
        </w:rPr>
        <w:t xml:space="preserve">, M. </w:t>
      </w:r>
      <w:proofErr w:type="spellStart"/>
      <w:r w:rsidR="006E2DCA" w:rsidRPr="0088744E">
        <w:rPr>
          <w:rFonts w:ascii="Arial" w:hAnsi="Arial" w:cs="Arial"/>
          <w:bCs/>
          <w:sz w:val="16"/>
          <w:szCs w:val="16"/>
          <w:lang w:val="en-US"/>
        </w:rPr>
        <w:t>Nutrizio</w:t>
      </w:r>
      <w:proofErr w:type="spellEnd"/>
      <w:r w:rsidR="006E2DCA" w:rsidRPr="0088744E">
        <w:rPr>
          <w:rFonts w:ascii="Arial" w:hAnsi="Arial" w:cs="Arial"/>
          <w:bCs/>
          <w:sz w:val="16"/>
          <w:szCs w:val="16"/>
          <w:lang w:val="en-US"/>
        </w:rPr>
        <w:t xml:space="preserve">, A. R. </w:t>
      </w:r>
      <w:proofErr w:type="spellStart"/>
      <w:r w:rsidR="006E2DCA" w:rsidRPr="0088744E">
        <w:rPr>
          <w:rFonts w:ascii="Arial" w:hAnsi="Arial" w:cs="Arial"/>
          <w:bCs/>
          <w:sz w:val="16"/>
          <w:szCs w:val="16"/>
          <w:lang w:val="en-US"/>
        </w:rPr>
        <w:t>Jambrak</w:t>
      </w:r>
      <w:proofErr w:type="spellEnd"/>
      <w:r w:rsidR="006E2DCA" w:rsidRPr="0088744E">
        <w:rPr>
          <w:rFonts w:ascii="Arial" w:hAnsi="Arial" w:cs="Arial"/>
          <w:bCs/>
          <w:sz w:val="16"/>
          <w:szCs w:val="16"/>
          <w:lang w:val="en-US"/>
        </w:rPr>
        <w:t xml:space="preserve">, P. E. S. </w:t>
      </w:r>
      <w:proofErr w:type="spellStart"/>
      <w:r w:rsidR="006E2DCA" w:rsidRPr="0088744E">
        <w:rPr>
          <w:rFonts w:ascii="Arial" w:hAnsi="Arial" w:cs="Arial"/>
          <w:bCs/>
          <w:sz w:val="16"/>
          <w:szCs w:val="16"/>
          <w:lang w:val="en-US"/>
        </w:rPr>
        <w:t>Munekata</w:t>
      </w:r>
      <w:proofErr w:type="spellEnd"/>
      <w:r w:rsidR="006E2DCA" w:rsidRPr="0088744E">
        <w:rPr>
          <w:rFonts w:ascii="Arial" w:hAnsi="Arial" w:cs="Arial"/>
          <w:bCs/>
          <w:sz w:val="16"/>
          <w:szCs w:val="16"/>
          <w:lang w:val="en-US"/>
        </w:rPr>
        <w:t xml:space="preserve">, J. M. Lorenzo, F. J. Barba, A. </w:t>
      </w:r>
      <w:proofErr w:type="spellStart"/>
      <w:r w:rsidR="006E2DCA" w:rsidRPr="0088744E">
        <w:rPr>
          <w:rFonts w:ascii="Arial" w:hAnsi="Arial" w:cs="Arial"/>
          <w:bCs/>
          <w:sz w:val="16"/>
          <w:szCs w:val="16"/>
          <w:lang w:val="en-US"/>
        </w:rPr>
        <w:t>Binello</w:t>
      </w:r>
      <w:proofErr w:type="spellEnd"/>
      <w:r w:rsidR="006E2DCA" w:rsidRPr="0088744E">
        <w:rPr>
          <w:rFonts w:ascii="Arial" w:hAnsi="Arial" w:cs="Arial"/>
          <w:bCs/>
          <w:sz w:val="16"/>
          <w:szCs w:val="16"/>
          <w:lang w:val="en-US"/>
        </w:rPr>
        <w:t xml:space="preserve"> and G. </w:t>
      </w:r>
      <w:proofErr w:type="spellStart"/>
      <w:r w:rsidR="006E2DCA" w:rsidRPr="0088744E">
        <w:rPr>
          <w:rFonts w:ascii="Arial" w:hAnsi="Arial" w:cs="Arial"/>
          <w:bCs/>
          <w:sz w:val="16"/>
          <w:szCs w:val="16"/>
          <w:lang w:val="en-US"/>
        </w:rPr>
        <w:t>Cravotto</w:t>
      </w:r>
      <w:proofErr w:type="spellEnd"/>
      <w:r w:rsidR="006E2DCA" w:rsidRPr="0088744E">
        <w:rPr>
          <w:rFonts w:ascii="Arial" w:hAnsi="Arial" w:cs="Arial"/>
          <w:bCs/>
          <w:sz w:val="16"/>
          <w:szCs w:val="16"/>
          <w:lang w:val="en-US"/>
        </w:rPr>
        <w:t>, Green Chemistry, 2020, 22, 2325–2353.</w:t>
      </w:r>
    </w:p>
    <w:p w14:paraId="7F096508" w14:textId="4150A2F3" w:rsidR="006E2DCA" w:rsidRPr="00AE4297" w:rsidRDefault="00BB0EDE" w:rsidP="0088744E">
      <w:pPr>
        <w:spacing w:after="60"/>
        <w:ind w:left="1559"/>
        <w:rPr>
          <w:rFonts w:ascii="Arial" w:hAnsi="Arial" w:cs="Arial"/>
          <w:bCs/>
          <w:sz w:val="16"/>
          <w:szCs w:val="16"/>
        </w:rPr>
      </w:pPr>
      <w:r w:rsidRPr="0088744E">
        <w:rPr>
          <w:rFonts w:ascii="Arial" w:hAnsi="Arial" w:cs="Arial"/>
          <w:b/>
          <w:sz w:val="16"/>
          <w:szCs w:val="16"/>
          <w:lang w:val="en-US"/>
        </w:rPr>
        <w:t>4</w:t>
      </w:r>
      <w:r w:rsidRPr="0088744E">
        <w:rPr>
          <w:rFonts w:ascii="Arial" w:hAnsi="Arial" w:cs="Arial"/>
          <w:bCs/>
          <w:sz w:val="16"/>
          <w:szCs w:val="16"/>
          <w:lang w:val="en-US"/>
        </w:rPr>
        <w:t xml:space="preserve">- </w:t>
      </w:r>
      <w:r w:rsidR="006E2DCA" w:rsidRPr="006E2DCA">
        <w:rPr>
          <w:rFonts w:ascii="Arial" w:hAnsi="Arial" w:cs="Arial"/>
          <w:bCs/>
          <w:sz w:val="16"/>
          <w:szCs w:val="16"/>
          <w:lang w:val="en-US"/>
        </w:rPr>
        <w:t xml:space="preserve">C. </w:t>
      </w:r>
      <w:proofErr w:type="spellStart"/>
      <w:r w:rsidR="006E2DCA" w:rsidRPr="006E2DCA">
        <w:rPr>
          <w:rFonts w:ascii="Arial" w:hAnsi="Arial" w:cs="Arial"/>
          <w:bCs/>
          <w:sz w:val="16"/>
          <w:szCs w:val="16"/>
          <w:lang w:val="en-US"/>
        </w:rPr>
        <w:t>Desmarchelier</w:t>
      </w:r>
      <w:proofErr w:type="spellEnd"/>
      <w:r w:rsidR="006E2DCA" w:rsidRPr="006E2DCA">
        <w:rPr>
          <w:rFonts w:ascii="Arial" w:hAnsi="Arial" w:cs="Arial"/>
          <w:bCs/>
          <w:sz w:val="16"/>
          <w:szCs w:val="16"/>
          <w:lang w:val="en-US"/>
        </w:rPr>
        <w:t xml:space="preserve">, F. </w:t>
      </w:r>
      <w:proofErr w:type="spellStart"/>
      <w:r w:rsidR="006E2DCA" w:rsidRPr="006E2DCA">
        <w:rPr>
          <w:rFonts w:ascii="Arial" w:hAnsi="Arial" w:cs="Arial"/>
          <w:bCs/>
          <w:sz w:val="16"/>
          <w:szCs w:val="16"/>
          <w:lang w:val="en-US"/>
        </w:rPr>
        <w:t>Tourniaire</w:t>
      </w:r>
      <w:proofErr w:type="spellEnd"/>
      <w:r w:rsidR="006E2DCA" w:rsidRPr="006E2DCA">
        <w:rPr>
          <w:rFonts w:ascii="Arial" w:hAnsi="Arial" w:cs="Arial"/>
          <w:bCs/>
          <w:sz w:val="16"/>
          <w:szCs w:val="16"/>
          <w:lang w:val="en-US"/>
        </w:rPr>
        <w:t xml:space="preserve">, D.P. </w:t>
      </w:r>
      <w:proofErr w:type="spellStart"/>
      <w:r w:rsidR="006E2DCA" w:rsidRPr="006E2DCA">
        <w:rPr>
          <w:rFonts w:ascii="Arial" w:hAnsi="Arial" w:cs="Arial"/>
          <w:bCs/>
          <w:sz w:val="16"/>
          <w:szCs w:val="16"/>
          <w:lang w:val="en-US"/>
        </w:rPr>
        <w:t>Preveraud</w:t>
      </w:r>
      <w:proofErr w:type="spellEnd"/>
      <w:r w:rsidR="006E2DCA" w:rsidRPr="006E2DCA">
        <w:rPr>
          <w:rFonts w:ascii="Arial" w:hAnsi="Arial" w:cs="Arial"/>
          <w:bCs/>
          <w:sz w:val="16"/>
          <w:szCs w:val="16"/>
          <w:lang w:val="en-US"/>
        </w:rPr>
        <w:t>, C. Samson-</w:t>
      </w:r>
      <w:proofErr w:type="spellStart"/>
      <w:r w:rsidR="006E2DCA" w:rsidRPr="006E2DCA">
        <w:rPr>
          <w:rFonts w:ascii="Arial" w:hAnsi="Arial" w:cs="Arial"/>
          <w:bCs/>
          <w:sz w:val="16"/>
          <w:szCs w:val="16"/>
          <w:lang w:val="en-US"/>
        </w:rPr>
        <w:t>Kremser</w:t>
      </w:r>
      <w:proofErr w:type="spellEnd"/>
      <w:r w:rsidR="006E2DCA" w:rsidRPr="006E2DCA">
        <w:rPr>
          <w:rFonts w:ascii="Arial" w:hAnsi="Arial" w:cs="Arial"/>
          <w:bCs/>
          <w:sz w:val="16"/>
          <w:szCs w:val="16"/>
          <w:lang w:val="en-US"/>
        </w:rPr>
        <w:t xml:space="preserve">, I. </w:t>
      </w:r>
      <w:proofErr w:type="spellStart"/>
      <w:r w:rsidR="006E2DCA" w:rsidRPr="006E2DCA">
        <w:rPr>
          <w:rFonts w:ascii="Arial" w:hAnsi="Arial" w:cs="Arial"/>
          <w:bCs/>
          <w:sz w:val="16"/>
          <w:szCs w:val="16"/>
          <w:lang w:val="en-US"/>
        </w:rPr>
        <w:t>Crenon</w:t>
      </w:r>
      <w:proofErr w:type="spellEnd"/>
      <w:r w:rsidR="006E2DCA" w:rsidRPr="006E2DCA">
        <w:rPr>
          <w:rFonts w:ascii="Arial" w:hAnsi="Arial" w:cs="Arial"/>
          <w:bCs/>
          <w:sz w:val="16"/>
          <w:szCs w:val="16"/>
          <w:lang w:val="en-US"/>
        </w:rPr>
        <w:t xml:space="preserve">, V. </w:t>
      </w:r>
      <w:proofErr w:type="spellStart"/>
      <w:r w:rsidR="006E2DCA" w:rsidRPr="006E2DCA">
        <w:rPr>
          <w:rFonts w:ascii="Arial" w:hAnsi="Arial" w:cs="Arial"/>
          <w:bCs/>
          <w:sz w:val="16"/>
          <w:szCs w:val="16"/>
          <w:lang w:val="en-US"/>
        </w:rPr>
        <w:t>Rosilio</w:t>
      </w:r>
      <w:proofErr w:type="spellEnd"/>
      <w:r w:rsidR="006E2DCA" w:rsidRPr="006E2DCA">
        <w:rPr>
          <w:rFonts w:ascii="Arial" w:hAnsi="Arial" w:cs="Arial"/>
          <w:bCs/>
          <w:sz w:val="16"/>
          <w:szCs w:val="16"/>
          <w:lang w:val="en-US"/>
        </w:rPr>
        <w:t xml:space="preserve">, P. </w:t>
      </w:r>
      <w:proofErr w:type="spellStart"/>
      <w:r w:rsidR="006E2DCA" w:rsidRPr="006E2DCA">
        <w:rPr>
          <w:rFonts w:ascii="Arial" w:hAnsi="Arial" w:cs="Arial"/>
          <w:bCs/>
          <w:sz w:val="16"/>
          <w:szCs w:val="16"/>
          <w:lang w:val="en-US"/>
        </w:rPr>
        <w:t>Borel</w:t>
      </w:r>
      <w:proofErr w:type="spellEnd"/>
      <w:r w:rsidR="006E2DCA" w:rsidRPr="006E2DCA">
        <w:rPr>
          <w:rFonts w:ascii="Arial" w:hAnsi="Arial" w:cs="Arial"/>
          <w:bCs/>
          <w:sz w:val="16"/>
          <w:szCs w:val="16"/>
          <w:lang w:val="en-US"/>
        </w:rPr>
        <w:t xml:space="preserve">. “The distribution and relative hydrolysis of </w:t>
      </w:r>
      <w:proofErr w:type="spellStart"/>
      <w:r w:rsidR="006E2DCA" w:rsidRPr="006E2DCA">
        <w:rPr>
          <w:rFonts w:ascii="Arial" w:hAnsi="Arial" w:cs="Arial"/>
          <w:bCs/>
          <w:sz w:val="16"/>
          <w:szCs w:val="16"/>
          <w:lang w:val="en-US"/>
        </w:rPr>
        <w:t>tocopheryl</w:t>
      </w:r>
      <w:proofErr w:type="spellEnd"/>
      <w:r w:rsidR="006E2DCA" w:rsidRPr="006E2DCA">
        <w:rPr>
          <w:rFonts w:ascii="Arial" w:hAnsi="Arial" w:cs="Arial"/>
          <w:bCs/>
          <w:sz w:val="16"/>
          <w:szCs w:val="16"/>
          <w:lang w:val="en-US"/>
        </w:rPr>
        <w:t xml:space="preserve"> acetate in the different matrices coexisting in the lumen of the small intestine during digestion could explain its low bioavailability.” </w:t>
      </w:r>
      <w:proofErr w:type="spellStart"/>
      <w:r w:rsidR="006E2DCA" w:rsidRPr="00AE4297">
        <w:rPr>
          <w:rFonts w:ascii="Arial" w:hAnsi="Arial" w:cs="Arial"/>
          <w:bCs/>
          <w:sz w:val="16"/>
          <w:szCs w:val="16"/>
        </w:rPr>
        <w:t>Molecular</w:t>
      </w:r>
      <w:proofErr w:type="spellEnd"/>
      <w:r w:rsidR="006E2DCA" w:rsidRPr="00AE4297">
        <w:rPr>
          <w:rFonts w:ascii="Arial" w:hAnsi="Arial" w:cs="Arial"/>
          <w:bCs/>
          <w:sz w:val="16"/>
          <w:szCs w:val="16"/>
        </w:rPr>
        <w:t xml:space="preserve"> Nutrition &amp; Food </w:t>
      </w:r>
      <w:proofErr w:type="spellStart"/>
      <w:r w:rsidR="006E2DCA" w:rsidRPr="00AE4297">
        <w:rPr>
          <w:rFonts w:ascii="Arial" w:hAnsi="Arial" w:cs="Arial"/>
          <w:bCs/>
          <w:sz w:val="16"/>
          <w:szCs w:val="16"/>
        </w:rPr>
        <w:t>Research</w:t>
      </w:r>
      <w:proofErr w:type="spellEnd"/>
      <w:r w:rsidR="006E2DCA" w:rsidRPr="00AE4297">
        <w:rPr>
          <w:rFonts w:ascii="Arial" w:hAnsi="Arial" w:cs="Arial"/>
          <w:bCs/>
          <w:sz w:val="16"/>
          <w:szCs w:val="16"/>
        </w:rPr>
        <w:t>, 57 (2013) 1237-1245.</w:t>
      </w:r>
    </w:p>
    <w:p w14:paraId="7E16FED7" w14:textId="77777777" w:rsidR="002C251C" w:rsidRPr="0088744E" w:rsidRDefault="00BB0EDE" w:rsidP="0088744E">
      <w:pPr>
        <w:spacing w:after="60"/>
        <w:ind w:left="1559"/>
        <w:rPr>
          <w:rFonts w:ascii="Arial" w:hAnsi="Arial" w:cs="Arial"/>
          <w:bCs/>
          <w:sz w:val="16"/>
          <w:szCs w:val="16"/>
        </w:rPr>
      </w:pPr>
      <w:r w:rsidRPr="0088744E">
        <w:rPr>
          <w:rFonts w:ascii="Arial" w:hAnsi="Arial" w:cs="Arial"/>
          <w:b/>
          <w:sz w:val="16"/>
          <w:szCs w:val="16"/>
        </w:rPr>
        <w:t>5</w:t>
      </w:r>
      <w:r w:rsidR="002C251C" w:rsidRPr="0088744E">
        <w:rPr>
          <w:rFonts w:ascii="Arial" w:hAnsi="Arial" w:cs="Arial"/>
          <w:b/>
          <w:sz w:val="16"/>
          <w:szCs w:val="16"/>
        </w:rPr>
        <w:t>-</w:t>
      </w:r>
      <w:r w:rsidR="002C251C" w:rsidRPr="0088744E">
        <w:rPr>
          <w:rFonts w:ascii="Arial" w:hAnsi="Arial" w:cs="Arial"/>
          <w:bCs/>
          <w:sz w:val="16"/>
          <w:szCs w:val="16"/>
        </w:rPr>
        <w:t xml:space="preserve"> P. Borel, « Les matrices végétales : leurs effets sur la biodisponibilité des caroténoïdes », Cahiers de Nutrition et Diététique, 53 (2018) 114-122.</w:t>
      </w:r>
    </w:p>
    <w:p w14:paraId="533B8919" w14:textId="194C0036" w:rsidR="002C251C" w:rsidRDefault="00BB0EDE" w:rsidP="0088744E">
      <w:pPr>
        <w:spacing w:after="60"/>
        <w:ind w:left="1559"/>
        <w:rPr>
          <w:rFonts w:ascii="Arial" w:hAnsi="Arial" w:cs="Arial"/>
          <w:bCs/>
          <w:sz w:val="16"/>
          <w:szCs w:val="16"/>
        </w:rPr>
      </w:pPr>
      <w:r w:rsidRPr="0088744E">
        <w:rPr>
          <w:rFonts w:ascii="Arial" w:hAnsi="Arial" w:cs="Arial"/>
          <w:b/>
          <w:sz w:val="16"/>
          <w:szCs w:val="16"/>
        </w:rPr>
        <w:t>6</w:t>
      </w:r>
      <w:r w:rsidR="002C251C" w:rsidRPr="0088744E">
        <w:rPr>
          <w:rFonts w:ascii="Arial" w:hAnsi="Arial" w:cs="Arial"/>
          <w:b/>
          <w:sz w:val="16"/>
          <w:szCs w:val="16"/>
        </w:rPr>
        <w:t>-</w:t>
      </w:r>
      <w:r w:rsidR="002C251C" w:rsidRPr="0088744E">
        <w:rPr>
          <w:rFonts w:ascii="Arial" w:hAnsi="Arial" w:cs="Arial"/>
          <w:bCs/>
          <w:sz w:val="16"/>
          <w:szCs w:val="16"/>
        </w:rPr>
        <w:t xml:space="preserve"> C. </w:t>
      </w:r>
      <w:proofErr w:type="spellStart"/>
      <w:r w:rsidR="002C251C" w:rsidRPr="0088744E">
        <w:rPr>
          <w:rFonts w:ascii="Arial" w:hAnsi="Arial" w:cs="Arial"/>
          <w:bCs/>
          <w:sz w:val="16"/>
          <w:szCs w:val="16"/>
        </w:rPr>
        <w:t>Desmarchelier</w:t>
      </w:r>
      <w:proofErr w:type="spellEnd"/>
      <w:r w:rsidR="002C251C" w:rsidRPr="0088744E">
        <w:rPr>
          <w:rFonts w:ascii="Arial" w:hAnsi="Arial" w:cs="Arial"/>
          <w:bCs/>
          <w:sz w:val="16"/>
          <w:szCs w:val="16"/>
        </w:rPr>
        <w:t xml:space="preserve">, « Effets de la matrice alimentaire sur la biodisponibilité des micronutriments et </w:t>
      </w:r>
      <w:proofErr w:type="spellStart"/>
      <w:r w:rsidR="002C251C" w:rsidRPr="0088744E">
        <w:rPr>
          <w:rFonts w:ascii="Arial" w:hAnsi="Arial" w:cs="Arial"/>
          <w:bCs/>
          <w:sz w:val="16"/>
          <w:szCs w:val="16"/>
        </w:rPr>
        <w:t>phytomicronutriments</w:t>
      </w:r>
      <w:proofErr w:type="spellEnd"/>
      <w:r w:rsidR="002C251C" w:rsidRPr="0088744E">
        <w:rPr>
          <w:rFonts w:ascii="Arial" w:hAnsi="Arial" w:cs="Arial"/>
          <w:bCs/>
          <w:sz w:val="16"/>
          <w:szCs w:val="16"/>
        </w:rPr>
        <w:t xml:space="preserve"> lipidiques », Cahiers de Nutrition et Diététique, 55 (2020) 240-248.</w:t>
      </w:r>
    </w:p>
    <w:p w14:paraId="01749D7F" w14:textId="1AA1FD72" w:rsidR="006E2DCA" w:rsidRPr="0088744E" w:rsidRDefault="006E2DCA" w:rsidP="006E2DCA">
      <w:pPr>
        <w:spacing w:after="60"/>
        <w:ind w:left="1559"/>
        <w:rPr>
          <w:rFonts w:ascii="Arial" w:hAnsi="Arial" w:cs="Arial"/>
          <w:b/>
          <w:sz w:val="16"/>
          <w:szCs w:val="16"/>
          <w:lang w:val="en-US"/>
        </w:rPr>
      </w:pPr>
      <w:r>
        <w:rPr>
          <w:rFonts w:ascii="Arial" w:hAnsi="Arial" w:cs="Arial"/>
          <w:b/>
          <w:sz w:val="16"/>
          <w:szCs w:val="16"/>
          <w:lang w:val="en-US"/>
        </w:rPr>
        <w:lastRenderedPageBreak/>
        <w:t>7</w:t>
      </w:r>
      <w:r w:rsidRPr="00AE4297">
        <w:rPr>
          <w:rFonts w:ascii="Arial" w:hAnsi="Arial" w:cs="Arial"/>
          <w:b/>
          <w:sz w:val="16"/>
          <w:szCs w:val="16"/>
          <w:lang w:val="en-US"/>
        </w:rPr>
        <w:t>-</w:t>
      </w:r>
      <w:r w:rsidRPr="00AE4297">
        <w:rPr>
          <w:rFonts w:ascii="Arial" w:hAnsi="Arial" w:cs="Arial"/>
          <w:bCs/>
          <w:sz w:val="16"/>
          <w:szCs w:val="16"/>
          <w:lang w:val="en-US"/>
        </w:rPr>
        <w:t xml:space="preserve"> </w:t>
      </w:r>
      <w:r w:rsidRPr="0088744E">
        <w:rPr>
          <w:rFonts w:ascii="Arial" w:hAnsi="Arial" w:cs="Arial"/>
          <w:bCs/>
          <w:sz w:val="16"/>
          <w:szCs w:val="16"/>
          <w:lang w:val="en-US"/>
        </w:rPr>
        <w:t>D. J. McClements, L. Saliva-Trujillo, R. Zhang, Z. Zhang, L. Zou, M. Yao, H. Xiao, « Boosting the bioavailability of hydrophobic nutrients, vitamins, and nutraceuticals in natural products using excipient emulsions », Food Research International, 88 (2016) 140–152.</w:t>
      </w:r>
    </w:p>
    <w:p w14:paraId="13B0D1FD" w14:textId="77777777" w:rsidR="006E2DCA" w:rsidRPr="00AE4297" w:rsidRDefault="006E2DCA" w:rsidP="0088744E">
      <w:pPr>
        <w:spacing w:after="60"/>
        <w:ind w:left="1559"/>
        <w:rPr>
          <w:rFonts w:ascii="Arial" w:hAnsi="Arial" w:cs="Arial"/>
          <w:bCs/>
          <w:sz w:val="16"/>
          <w:szCs w:val="16"/>
          <w:lang w:val="en-US"/>
        </w:rPr>
      </w:pPr>
    </w:p>
    <w:p w14:paraId="2E075BD3" w14:textId="77777777" w:rsidR="001E7650" w:rsidRPr="00AE4297" w:rsidRDefault="001E7650">
      <w:pPr>
        <w:ind w:left="1560"/>
        <w:rPr>
          <w:rFonts w:ascii="Arial" w:hAnsi="Arial" w:cs="Arial"/>
          <w:bCs/>
          <w:sz w:val="20"/>
          <w:szCs w:val="20"/>
          <w:lang w:val="en-US"/>
        </w:rPr>
      </w:pPr>
      <w:r w:rsidRPr="00AE4297">
        <w:rPr>
          <w:rFonts w:ascii="Arial" w:hAnsi="Arial" w:cs="Arial"/>
          <w:bCs/>
          <w:sz w:val="20"/>
          <w:szCs w:val="20"/>
          <w:lang w:val="en-US"/>
        </w:rPr>
        <w:tab/>
      </w:r>
    </w:p>
    <w:p w14:paraId="6B5A7C06" w14:textId="77777777" w:rsidR="00377ACF" w:rsidRPr="00AE4297" w:rsidRDefault="00377ACF">
      <w:pPr>
        <w:ind w:left="1560"/>
        <w:rPr>
          <w:b/>
          <w:lang w:val="en-US"/>
        </w:rPr>
      </w:pPr>
    </w:p>
    <w:p w14:paraId="0954F23C" w14:textId="77777777" w:rsidR="00377ACF" w:rsidRPr="00AD2461" w:rsidRDefault="00377ACF" w:rsidP="00AB1B03">
      <w:pPr>
        <w:pStyle w:val="western"/>
        <w:spacing w:after="0" w:line="276" w:lineRule="auto"/>
        <w:jc w:val="center"/>
        <w:rPr>
          <w:sz w:val="20"/>
          <w:szCs w:val="20"/>
        </w:rPr>
      </w:pPr>
      <w:r>
        <w:rPr>
          <w:rFonts w:ascii="Calibri Light" w:hAnsi="Calibri Light" w:cs="Arial"/>
          <w:b/>
          <w:bCs/>
          <w:sz w:val="20"/>
          <w:szCs w:val="20"/>
        </w:rPr>
        <w:t>L</w:t>
      </w:r>
      <w:r w:rsidRPr="00377ACF">
        <w:rPr>
          <w:rFonts w:ascii="Calibri Light" w:hAnsi="Calibri Light" w:cs="Arial"/>
          <w:b/>
          <w:bCs/>
          <w:sz w:val="20"/>
          <w:szCs w:val="20"/>
        </w:rPr>
        <w:t>es sujets devront être adressés à</w:t>
      </w:r>
    </w:p>
    <w:p w14:paraId="1ADDAB9C" w14:textId="77777777" w:rsidR="001E7650" w:rsidRDefault="00AB286A" w:rsidP="00AB1B03">
      <w:pPr>
        <w:spacing w:before="120" w:after="0" w:line="240" w:lineRule="auto"/>
        <w:jc w:val="center"/>
        <w:rPr>
          <w:rStyle w:val="LienInternetvisit"/>
          <w:rFonts w:ascii="Calibri Light" w:eastAsia="Times New Roman" w:hAnsi="Calibri Light" w:cs="Arial"/>
          <w:b/>
          <w:bCs/>
          <w:color w:val="000000"/>
          <w:sz w:val="20"/>
          <w:szCs w:val="20"/>
          <w:lang w:eastAsia="fr-FR"/>
        </w:rPr>
      </w:pPr>
      <w:hyperlink r:id="rId7" w:history="1">
        <w:r w:rsidR="00D86BC5" w:rsidRPr="001C31BC">
          <w:rPr>
            <w:rStyle w:val="Lienhypertexte"/>
            <w:rFonts w:ascii="Calibri Light" w:eastAsia="Times New Roman" w:hAnsi="Calibri Light" w:cs="Arial"/>
            <w:b/>
            <w:bCs/>
            <w:sz w:val="20"/>
            <w:szCs w:val="20"/>
            <w:lang w:eastAsia="fr-FR"/>
          </w:rPr>
          <w:t>gestion-ed@univ-avignon.fr</w:t>
        </w:r>
      </w:hyperlink>
    </w:p>
    <w:p w14:paraId="450D41E9" w14:textId="77777777" w:rsidR="00AB1B03" w:rsidRPr="00AB1B03" w:rsidRDefault="00D86BC5" w:rsidP="00AB1B03">
      <w:pPr>
        <w:spacing w:before="120" w:after="0" w:line="240" w:lineRule="auto"/>
        <w:jc w:val="center"/>
        <w:rPr>
          <w:color w:val="FF0000"/>
        </w:rPr>
      </w:pPr>
      <w:proofErr w:type="gramStart"/>
      <w:r>
        <w:rPr>
          <w:rStyle w:val="LienInternetvisit"/>
          <w:rFonts w:ascii="Calibri Light" w:eastAsia="Times New Roman" w:hAnsi="Calibri Light" w:cs="Arial"/>
          <w:b/>
          <w:bCs/>
          <w:color w:val="FF0000"/>
          <w:sz w:val="20"/>
          <w:szCs w:val="20"/>
          <w:lang w:eastAsia="fr-FR"/>
        </w:rPr>
        <w:t>avant</w:t>
      </w:r>
      <w:proofErr w:type="gramEnd"/>
      <w:r>
        <w:rPr>
          <w:rStyle w:val="LienInternetvisit"/>
          <w:rFonts w:ascii="Calibri Light" w:eastAsia="Times New Roman" w:hAnsi="Calibri Light" w:cs="Arial"/>
          <w:b/>
          <w:bCs/>
          <w:color w:val="FF0000"/>
          <w:sz w:val="20"/>
          <w:szCs w:val="20"/>
          <w:lang w:eastAsia="fr-FR"/>
        </w:rPr>
        <w:t xml:space="preserve"> le 6</w:t>
      </w:r>
      <w:r w:rsidR="00AB1B03" w:rsidRPr="00AB1B03">
        <w:rPr>
          <w:rStyle w:val="LienInternetvisit"/>
          <w:rFonts w:ascii="Calibri Light" w:eastAsia="Times New Roman" w:hAnsi="Calibri Light" w:cs="Arial"/>
          <w:b/>
          <w:bCs/>
          <w:color w:val="FF0000"/>
          <w:sz w:val="20"/>
          <w:szCs w:val="20"/>
          <w:lang w:eastAsia="fr-FR"/>
        </w:rPr>
        <w:t xml:space="preserve"> avril 2020</w:t>
      </w:r>
    </w:p>
    <w:sectPr w:rsidR="00AB1B03" w:rsidRPr="00AB1B03" w:rsidSect="00377ACF">
      <w:headerReference w:type="even" r:id="rId8"/>
      <w:headerReference w:type="default" r:id="rId9"/>
      <w:footerReference w:type="even" r:id="rId10"/>
      <w:footerReference w:type="default" r:id="rId11"/>
      <w:headerReference w:type="first" r:id="rId12"/>
      <w:footerReference w:type="first" r:id="rId13"/>
      <w:pgSz w:w="11906" w:h="16838"/>
      <w:pgMar w:top="68" w:right="1417" w:bottom="1417" w:left="426" w:header="708"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436C1" w14:textId="77777777" w:rsidR="00E5047F" w:rsidRDefault="00E5047F">
      <w:pPr>
        <w:spacing w:after="0" w:line="240" w:lineRule="auto"/>
      </w:pPr>
      <w:r>
        <w:separator/>
      </w:r>
    </w:p>
  </w:endnote>
  <w:endnote w:type="continuationSeparator" w:id="0">
    <w:p w14:paraId="6AD585BE" w14:textId="77777777" w:rsidR="00E5047F" w:rsidRDefault="00E50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Mangal">
    <w:panose1 w:val="00000400000000000000"/>
    <w:charset w:val="01"/>
    <w:family w:val="roman"/>
    <w:pitch w:val="variable"/>
    <w:sig w:usb0="0000A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F4F3D" w14:textId="77777777" w:rsidR="001D68A4" w:rsidRDefault="001D68A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23BA4" w14:textId="77777777" w:rsidR="001D68A4" w:rsidRDefault="001D68A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446F7" w14:textId="77777777" w:rsidR="001D68A4" w:rsidRDefault="001D68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4374D" w14:textId="77777777" w:rsidR="00E5047F" w:rsidRDefault="00E5047F">
      <w:pPr>
        <w:spacing w:after="0" w:line="240" w:lineRule="auto"/>
      </w:pPr>
      <w:r>
        <w:separator/>
      </w:r>
    </w:p>
  </w:footnote>
  <w:footnote w:type="continuationSeparator" w:id="0">
    <w:p w14:paraId="3C1FC9FA" w14:textId="77777777" w:rsidR="00E5047F" w:rsidRDefault="00E50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D7645" w14:textId="77777777" w:rsidR="001D68A4" w:rsidRDefault="001D68A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07917" w14:textId="77777777" w:rsidR="001E7650" w:rsidRDefault="007119B7" w:rsidP="003F3A9A">
    <w:pPr>
      <w:pStyle w:val="En-tte"/>
      <w:ind w:left="851"/>
    </w:pPr>
    <w:r w:rsidRPr="003F3A9A">
      <w:rPr>
        <w:noProof/>
      </w:rPr>
      <w:drawing>
        <wp:inline distT="0" distB="0" distL="0" distR="0" wp14:anchorId="3A24D6A4" wp14:editId="324B3768">
          <wp:extent cx="850900" cy="1047750"/>
          <wp:effectExtent l="0" t="0" r="0" b="0"/>
          <wp:docPr id="1" name="Image 1" descr="avignon_universite_CMJ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ignon_universite_CMJ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10477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D832E" w14:textId="77777777" w:rsidR="001D68A4" w:rsidRDefault="001D68A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24042F"/>
    <w:multiLevelType w:val="hybridMultilevel"/>
    <w:tmpl w:val="2048F58E"/>
    <w:lvl w:ilvl="0" w:tplc="E306DA40">
      <w:numFmt w:val="bullet"/>
      <w:lvlText w:val=""/>
      <w:lvlJc w:val="left"/>
      <w:pPr>
        <w:ind w:left="2279" w:hanging="360"/>
      </w:pPr>
      <w:rPr>
        <w:rFonts w:ascii="Wingdings" w:eastAsia="Calibri" w:hAnsi="Wingdings" w:cs="Times New Roman" w:hint="default"/>
      </w:rPr>
    </w:lvl>
    <w:lvl w:ilvl="1" w:tplc="040C0003" w:tentative="1">
      <w:start w:val="1"/>
      <w:numFmt w:val="bullet"/>
      <w:lvlText w:val="o"/>
      <w:lvlJc w:val="left"/>
      <w:pPr>
        <w:ind w:left="2999" w:hanging="360"/>
      </w:pPr>
      <w:rPr>
        <w:rFonts w:ascii="Courier New" w:hAnsi="Courier New" w:hint="default"/>
      </w:rPr>
    </w:lvl>
    <w:lvl w:ilvl="2" w:tplc="040C0005" w:tentative="1">
      <w:start w:val="1"/>
      <w:numFmt w:val="bullet"/>
      <w:lvlText w:val=""/>
      <w:lvlJc w:val="left"/>
      <w:pPr>
        <w:ind w:left="3719" w:hanging="360"/>
      </w:pPr>
      <w:rPr>
        <w:rFonts w:ascii="Wingdings" w:hAnsi="Wingdings" w:hint="default"/>
      </w:rPr>
    </w:lvl>
    <w:lvl w:ilvl="3" w:tplc="040C0001" w:tentative="1">
      <w:start w:val="1"/>
      <w:numFmt w:val="bullet"/>
      <w:lvlText w:val=""/>
      <w:lvlJc w:val="left"/>
      <w:pPr>
        <w:ind w:left="4439" w:hanging="360"/>
      </w:pPr>
      <w:rPr>
        <w:rFonts w:ascii="Symbol" w:hAnsi="Symbol" w:hint="default"/>
      </w:rPr>
    </w:lvl>
    <w:lvl w:ilvl="4" w:tplc="040C0003" w:tentative="1">
      <w:start w:val="1"/>
      <w:numFmt w:val="bullet"/>
      <w:lvlText w:val="o"/>
      <w:lvlJc w:val="left"/>
      <w:pPr>
        <w:ind w:left="5159" w:hanging="360"/>
      </w:pPr>
      <w:rPr>
        <w:rFonts w:ascii="Courier New" w:hAnsi="Courier New" w:hint="default"/>
      </w:rPr>
    </w:lvl>
    <w:lvl w:ilvl="5" w:tplc="040C0005" w:tentative="1">
      <w:start w:val="1"/>
      <w:numFmt w:val="bullet"/>
      <w:lvlText w:val=""/>
      <w:lvlJc w:val="left"/>
      <w:pPr>
        <w:ind w:left="5879" w:hanging="360"/>
      </w:pPr>
      <w:rPr>
        <w:rFonts w:ascii="Wingdings" w:hAnsi="Wingdings" w:hint="default"/>
      </w:rPr>
    </w:lvl>
    <w:lvl w:ilvl="6" w:tplc="040C0001" w:tentative="1">
      <w:start w:val="1"/>
      <w:numFmt w:val="bullet"/>
      <w:lvlText w:val=""/>
      <w:lvlJc w:val="left"/>
      <w:pPr>
        <w:ind w:left="6599" w:hanging="360"/>
      </w:pPr>
      <w:rPr>
        <w:rFonts w:ascii="Symbol" w:hAnsi="Symbol" w:hint="default"/>
      </w:rPr>
    </w:lvl>
    <w:lvl w:ilvl="7" w:tplc="040C0003" w:tentative="1">
      <w:start w:val="1"/>
      <w:numFmt w:val="bullet"/>
      <w:lvlText w:val="o"/>
      <w:lvlJc w:val="left"/>
      <w:pPr>
        <w:ind w:left="7319" w:hanging="360"/>
      </w:pPr>
      <w:rPr>
        <w:rFonts w:ascii="Courier New" w:hAnsi="Courier New" w:hint="default"/>
      </w:rPr>
    </w:lvl>
    <w:lvl w:ilvl="8" w:tplc="040C0005" w:tentative="1">
      <w:start w:val="1"/>
      <w:numFmt w:val="bullet"/>
      <w:lvlText w:val=""/>
      <w:lvlJc w:val="left"/>
      <w:pPr>
        <w:ind w:left="803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F1"/>
    <w:rsid w:val="0002212F"/>
    <w:rsid w:val="000D5601"/>
    <w:rsid w:val="000D68AB"/>
    <w:rsid w:val="000E7B1F"/>
    <w:rsid w:val="0016189C"/>
    <w:rsid w:val="001A05D0"/>
    <w:rsid w:val="001D68A4"/>
    <w:rsid w:val="001E7650"/>
    <w:rsid w:val="00213F98"/>
    <w:rsid w:val="0026170C"/>
    <w:rsid w:val="002930D6"/>
    <w:rsid w:val="002C251C"/>
    <w:rsid w:val="00377ACF"/>
    <w:rsid w:val="003A14F1"/>
    <w:rsid w:val="003F3A9A"/>
    <w:rsid w:val="004059F1"/>
    <w:rsid w:val="004225DF"/>
    <w:rsid w:val="004328F7"/>
    <w:rsid w:val="00452CCD"/>
    <w:rsid w:val="004658B6"/>
    <w:rsid w:val="004E467E"/>
    <w:rsid w:val="004F3F60"/>
    <w:rsid w:val="00522F99"/>
    <w:rsid w:val="00560409"/>
    <w:rsid w:val="005C7B45"/>
    <w:rsid w:val="005D5E1D"/>
    <w:rsid w:val="006447B2"/>
    <w:rsid w:val="0065437C"/>
    <w:rsid w:val="00667662"/>
    <w:rsid w:val="006E2DCA"/>
    <w:rsid w:val="00704E93"/>
    <w:rsid w:val="007119B7"/>
    <w:rsid w:val="00754C5A"/>
    <w:rsid w:val="00765F3B"/>
    <w:rsid w:val="007F14E0"/>
    <w:rsid w:val="00802810"/>
    <w:rsid w:val="0081079E"/>
    <w:rsid w:val="008630CC"/>
    <w:rsid w:val="0088744E"/>
    <w:rsid w:val="008B72C7"/>
    <w:rsid w:val="008E58CC"/>
    <w:rsid w:val="00923EF3"/>
    <w:rsid w:val="00936F0E"/>
    <w:rsid w:val="00965763"/>
    <w:rsid w:val="00973773"/>
    <w:rsid w:val="009A517E"/>
    <w:rsid w:val="00A251A2"/>
    <w:rsid w:val="00A56638"/>
    <w:rsid w:val="00A96DBD"/>
    <w:rsid w:val="00A97A2C"/>
    <w:rsid w:val="00AB1B03"/>
    <w:rsid w:val="00AB286A"/>
    <w:rsid w:val="00AB2ED6"/>
    <w:rsid w:val="00AE4297"/>
    <w:rsid w:val="00B44F84"/>
    <w:rsid w:val="00B54D6E"/>
    <w:rsid w:val="00BB0EDE"/>
    <w:rsid w:val="00CB0797"/>
    <w:rsid w:val="00D33C70"/>
    <w:rsid w:val="00D67D4D"/>
    <w:rsid w:val="00D86BC5"/>
    <w:rsid w:val="00DD3C84"/>
    <w:rsid w:val="00DE0F1F"/>
    <w:rsid w:val="00E5047F"/>
    <w:rsid w:val="00F4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9BED164"/>
  <w15:chartTrackingRefBased/>
  <w15:docId w15:val="{5EDD2510-D6ED-4E4A-ACAE-EEC1B3C6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rFonts w:ascii="Calibri" w:eastAsia="Calibri" w:hAnsi="Calibri" w:cs="Calibri"/>
      <w:sz w:val="22"/>
      <w:szCs w:val="22"/>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2">
    <w:name w:val="Police par défaut2"/>
  </w:style>
  <w:style w:type="character" w:customStyle="1" w:styleId="Policepardfaut1">
    <w:name w:val="Police par défaut1"/>
  </w:style>
  <w:style w:type="character" w:customStyle="1" w:styleId="En-tteCar">
    <w:name w:val="En-tête Car"/>
    <w:rPr>
      <w:sz w:val="22"/>
      <w:szCs w:val="22"/>
    </w:rPr>
  </w:style>
  <w:style w:type="character" w:customStyle="1" w:styleId="PieddepageCar">
    <w:name w:val="Pied de page Car"/>
    <w:rPr>
      <w:sz w:val="22"/>
      <w:szCs w:val="22"/>
    </w:rPr>
  </w:style>
  <w:style w:type="paragraph" w:customStyle="1" w:styleId="Titre2">
    <w:name w:val="Titre2"/>
    <w:basedOn w:val="Normal"/>
    <w:next w:val="Corpsdetexte"/>
    <w:pPr>
      <w:keepNext/>
      <w:spacing w:before="240" w:after="120"/>
    </w:pPr>
    <w:rPr>
      <w:rFonts w:ascii="Arial" w:eastAsia="SimSun" w:hAnsi="Arial"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Titre1">
    <w:name w:val="Titre1"/>
    <w:basedOn w:val="Normal"/>
    <w:next w:val="Corpsdetexte"/>
    <w:pPr>
      <w:jc w:val="center"/>
    </w:pPr>
    <w:rPr>
      <w:b/>
      <w:bCs/>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western">
    <w:name w:val="western"/>
    <w:basedOn w:val="Normal"/>
    <w:rsid w:val="00377ACF"/>
    <w:pPr>
      <w:suppressAutoHyphens w:val="0"/>
      <w:spacing w:before="100" w:beforeAutospacing="1" w:after="142" w:line="288" w:lineRule="auto"/>
    </w:pPr>
    <w:rPr>
      <w:rFonts w:eastAsia="Times New Roman" w:cs="Times New Roman"/>
      <w:color w:val="000000"/>
      <w:lang w:eastAsia="fr-FR"/>
    </w:rPr>
  </w:style>
  <w:style w:type="character" w:customStyle="1" w:styleId="LienInternetvisit">
    <w:name w:val="Lien Internet visité"/>
    <w:rsid w:val="00377ACF"/>
    <w:rPr>
      <w:color w:val="800000"/>
      <w:u w:val="single"/>
    </w:rPr>
  </w:style>
  <w:style w:type="character" w:styleId="Lienhypertexte">
    <w:name w:val="Hyperlink"/>
    <w:uiPriority w:val="99"/>
    <w:unhideWhenUsed/>
    <w:rsid w:val="00377ACF"/>
    <w:rPr>
      <w:color w:val="0563C1"/>
      <w:u w:val="single"/>
    </w:rPr>
  </w:style>
  <w:style w:type="character" w:styleId="Marquedecommentaire">
    <w:name w:val="annotation reference"/>
    <w:uiPriority w:val="99"/>
    <w:semiHidden/>
    <w:unhideWhenUsed/>
    <w:rsid w:val="007F14E0"/>
    <w:rPr>
      <w:sz w:val="16"/>
      <w:szCs w:val="16"/>
    </w:rPr>
  </w:style>
  <w:style w:type="paragraph" w:styleId="Commentaire">
    <w:name w:val="annotation text"/>
    <w:basedOn w:val="Normal"/>
    <w:link w:val="CommentaireCar"/>
    <w:uiPriority w:val="99"/>
    <w:semiHidden/>
    <w:unhideWhenUsed/>
    <w:rsid w:val="007F14E0"/>
    <w:rPr>
      <w:sz w:val="20"/>
      <w:szCs w:val="20"/>
    </w:rPr>
  </w:style>
  <w:style w:type="character" w:customStyle="1" w:styleId="CommentaireCar">
    <w:name w:val="Commentaire Car"/>
    <w:link w:val="Commentaire"/>
    <w:uiPriority w:val="99"/>
    <w:semiHidden/>
    <w:rsid w:val="007F14E0"/>
    <w:rPr>
      <w:rFonts w:ascii="Calibri" w:eastAsia="Calibri" w:hAnsi="Calibri" w:cs="Calibri"/>
      <w:lang w:eastAsia="ar-SA"/>
    </w:rPr>
  </w:style>
  <w:style w:type="paragraph" w:styleId="Objetducommentaire">
    <w:name w:val="annotation subject"/>
    <w:basedOn w:val="Commentaire"/>
    <w:next w:val="Commentaire"/>
    <w:link w:val="ObjetducommentaireCar"/>
    <w:uiPriority w:val="99"/>
    <w:semiHidden/>
    <w:unhideWhenUsed/>
    <w:rsid w:val="007F14E0"/>
    <w:rPr>
      <w:b/>
      <w:bCs/>
    </w:rPr>
  </w:style>
  <w:style w:type="character" w:customStyle="1" w:styleId="ObjetducommentaireCar">
    <w:name w:val="Objet du commentaire Car"/>
    <w:link w:val="Objetducommentaire"/>
    <w:uiPriority w:val="99"/>
    <w:semiHidden/>
    <w:rsid w:val="007F14E0"/>
    <w:rPr>
      <w:rFonts w:ascii="Calibri" w:eastAsia="Calibri" w:hAnsi="Calibri" w:cs="Calibri"/>
      <w:b/>
      <w:bCs/>
      <w:lang w:eastAsia="ar-SA"/>
    </w:rPr>
  </w:style>
  <w:style w:type="paragraph" w:styleId="Textedebulles">
    <w:name w:val="Balloon Text"/>
    <w:basedOn w:val="Normal"/>
    <w:link w:val="TextedebullesCar"/>
    <w:uiPriority w:val="99"/>
    <w:semiHidden/>
    <w:unhideWhenUsed/>
    <w:rsid w:val="007F14E0"/>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7F14E0"/>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estion-ed@univ-avignon.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1506</Words>
  <Characters>8287</Characters>
  <Application>Microsoft Office Word</Application>
  <DocSecurity>4</DocSecurity>
  <Lines>69</Lines>
  <Paragraphs>19</Paragraphs>
  <ScaleCrop>false</ScaleCrop>
  <HeadingPairs>
    <vt:vector size="2" baseType="variant">
      <vt:variant>
        <vt:lpstr>Titre</vt:lpstr>
      </vt:variant>
      <vt:variant>
        <vt:i4>1</vt:i4>
      </vt:variant>
    </vt:vector>
  </HeadingPairs>
  <TitlesOfParts>
    <vt:vector size="1" baseType="lpstr">
      <vt:lpstr>Intitulé du module :</vt:lpstr>
    </vt:vector>
  </TitlesOfParts>
  <Company/>
  <LinksUpToDate>false</LinksUpToDate>
  <CharactersWithSpaces>9774</CharactersWithSpaces>
  <SharedDoc>false</SharedDoc>
  <HLinks>
    <vt:vector size="6" baseType="variant">
      <vt:variant>
        <vt:i4>2228252</vt:i4>
      </vt:variant>
      <vt:variant>
        <vt:i4>0</vt:i4>
      </vt:variant>
      <vt:variant>
        <vt:i4>0</vt:i4>
      </vt:variant>
      <vt:variant>
        <vt:i4>5</vt:i4>
      </vt:variant>
      <vt:variant>
        <vt:lpwstr>mailto:gestion-ed@univ-avignon.fr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Intitulé du module :</dc:title>
  <dc:subject/>
  <dc:creator>nours</dc:creator>
  <cp:keywords/>
  <cp:lastModifiedBy>Utilisateur Windows</cp:lastModifiedBy>
  <cp:revision>2</cp:revision>
  <cp:lastPrinted>2018-04-12T07:33:00Z</cp:lastPrinted>
  <dcterms:created xsi:type="dcterms:W3CDTF">2021-04-15T14:23:00Z</dcterms:created>
  <dcterms:modified xsi:type="dcterms:W3CDTF">2021-04-15T14:23:00Z</dcterms:modified>
</cp:coreProperties>
</file>